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413"/>
          <w:tab w:val="left" w:pos="5688"/>
        </w:tabs>
        <w:ind w:left="93"/>
        <w:jc w:val="center"/>
        <w:rPr>
          <w:rFonts w:ascii="仿宋_GB2312" w:eastAsia="仿宋_GB2312"/>
          <w:kern w:val="0"/>
          <w:sz w:val="30"/>
          <w:szCs w:val="30"/>
        </w:rPr>
      </w:pPr>
      <w:r>
        <w:rPr>
          <w:rFonts w:hint="eastAsia"/>
          <w:spacing w:val="10"/>
        </w:rPr>
        <w:t xml:space="preserve">                       </w:t>
      </w:r>
    </w:p>
    <w:p>
      <w:pPr>
        <w:widowControl/>
        <w:tabs>
          <w:tab w:val="left" w:pos="4413"/>
          <w:tab w:val="left" w:pos="5688"/>
        </w:tabs>
        <w:ind w:left="93"/>
        <w:jc w:val="center"/>
        <w:rPr>
          <w:rFonts w:ascii="仿宋_GB2312" w:eastAsia="仿宋_GB2312"/>
          <w:kern w:val="0"/>
          <w:sz w:val="30"/>
          <w:szCs w:val="30"/>
        </w:rPr>
      </w:pPr>
    </w:p>
    <w:p>
      <w:pPr>
        <w:widowControl/>
        <w:tabs>
          <w:tab w:val="left" w:pos="4413"/>
          <w:tab w:val="left" w:pos="5688"/>
        </w:tabs>
        <w:ind w:left="93"/>
        <w:jc w:val="center"/>
        <w:rPr>
          <w:rFonts w:ascii="仿宋_GB2312" w:eastAsia="仿宋_GB2312"/>
          <w:kern w:val="0"/>
          <w:sz w:val="30"/>
          <w:szCs w:val="30"/>
        </w:rPr>
      </w:pPr>
    </w:p>
    <w:p>
      <w:pPr>
        <w:widowControl/>
        <w:tabs>
          <w:tab w:val="left" w:pos="4413"/>
          <w:tab w:val="left" w:pos="5688"/>
        </w:tabs>
        <w:ind w:left="93"/>
        <w:jc w:val="center"/>
        <w:rPr>
          <w:rFonts w:ascii="仿宋_GB2312" w:eastAsia="仿宋_GB2312"/>
          <w:kern w:val="0"/>
          <w:sz w:val="30"/>
          <w:szCs w:val="30"/>
        </w:rPr>
      </w:pPr>
    </w:p>
    <w:p>
      <w:pPr>
        <w:widowControl/>
        <w:tabs>
          <w:tab w:val="left" w:pos="4413"/>
          <w:tab w:val="left" w:pos="5688"/>
        </w:tabs>
        <w:ind w:left="93"/>
        <w:jc w:val="center"/>
        <w:rPr>
          <w:rFonts w:ascii="仿宋_GB2312" w:eastAsia="仿宋_GB2312"/>
          <w:kern w:val="0"/>
          <w:sz w:val="30"/>
          <w:szCs w:val="30"/>
        </w:rPr>
      </w:pPr>
      <w:r>
        <w:rPr>
          <w:rFonts w:ascii="仿宋_GB2312" w:eastAsia="仿宋_GB2312"/>
          <w:kern w:val="0"/>
          <w:sz w:val="30"/>
          <w:szCs w:val="30"/>
        </w:rPr>
        <mc:AlternateContent>
          <mc:Choice Requires="wps">
            <w:drawing>
              <wp:anchor distT="0" distB="0" distL="114300" distR="114300" simplePos="0" relativeHeight="251658240" behindDoc="0" locked="0" layoutInCell="1" allowOverlap="1">
                <wp:simplePos x="0" y="0"/>
                <wp:positionH relativeFrom="column">
                  <wp:posOffset>257175</wp:posOffset>
                </wp:positionH>
                <wp:positionV relativeFrom="paragraph">
                  <wp:posOffset>-73660</wp:posOffset>
                </wp:positionV>
                <wp:extent cx="5029200" cy="640715"/>
                <wp:effectExtent l="0" t="0" r="0" b="6985"/>
                <wp:wrapNone/>
                <wp:docPr id="1" name="文本框 2"/>
                <wp:cNvGraphicFramePr/>
                <a:graphic xmlns:a="http://schemas.openxmlformats.org/drawingml/2006/main">
                  <a:graphicData uri="http://schemas.microsoft.com/office/word/2010/wordprocessingShape">
                    <wps:wsp>
                      <wps:cNvSpPr txBox="1"/>
                      <wps:spPr>
                        <a:xfrm>
                          <a:off x="0" y="0"/>
                          <a:ext cx="5029200" cy="640715"/>
                        </a:xfrm>
                        <a:prstGeom prst="rect">
                          <a:avLst/>
                        </a:prstGeom>
                        <a:solidFill>
                          <a:srgbClr val="FFFFFF"/>
                        </a:solidFill>
                        <a:ln w="9525">
                          <a:noFill/>
                        </a:ln>
                      </wps:spPr>
                      <wps:txbx>
                        <w:txbxContent>
                          <w:p>
                            <w:pPr>
                              <w:spacing w:line="860" w:lineRule="exact"/>
                              <w:jc w:val="distribute"/>
                              <w:rPr>
                                <w:rFonts w:eastAsia="方正小标宋简体"/>
                                <w:color w:val="FF0000"/>
                                <w:spacing w:val="-60"/>
                                <w:w w:val="80"/>
                                <w:sz w:val="76"/>
                                <w:szCs w:val="76"/>
                              </w:rPr>
                            </w:pPr>
                            <w:r>
                              <w:rPr>
                                <w:rFonts w:hint="eastAsia" w:eastAsia="方正小标宋简体"/>
                                <w:color w:val="FF0000"/>
                                <w:spacing w:val="-60"/>
                                <w:w w:val="80"/>
                                <w:sz w:val="76"/>
                                <w:szCs w:val="76"/>
                              </w:rPr>
                              <w:t>中国物流与采购联合会文件</w:t>
                            </w:r>
                          </w:p>
                          <w:p/>
                        </w:txbxContent>
                      </wps:txbx>
                      <wps:bodyPr upright="1"/>
                    </wps:wsp>
                  </a:graphicData>
                </a:graphic>
              </wp:anchor>
            </w:drawing>
          </mc:Choice>
          <mc:Fallback>
            <w:pict>
              <v:shape id="文本框 2" o:spid="_x0000_s1026" o:spt="202" type="#_x0000_t202" style="position:absolute;left:0pt;margin-left:20.25pt;margin-top:-5.8pt;height:50.45pt;width:396pt;z-index:251658240;mso-width-relative:page;mso-height-relative:page;" fillcolor="#FFFFFF" filled="t" stroked="f" coordsize="21600,21600" o:gfxdata="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U4eVLdcAAAAJ&#10;AQAADwAAAAAAAAABACAAAAAiAAAAZHJzL2Rvd25yZXYueG1sUEsBAhQAFAAAAAgAh07iQHu1Fo2r&#10;AQAAMgMAAA4AAAAAAAAAAQAgAAAAJgEAAGRycy9lMm9Eb2MueG1sUEsFBgAAAAAGAAYAWQEAAEMF&#10;AAAAAA==&#10;">
                <v:fill on="t" focussize="0,0"/>
                <v:stroke on="f"/>
                <v:imagedata o:title=""/>
                <o:lock v:ext="edit" aspectratio="f"/>
                <v:textbox>
                  <w:txbxContent>
                    <w:p>
                      <w:pPr>
                        <w:spacing w:line="860" w:lineRule="exact"/>
                        <w:jc w:val="distribute"/>
                        <w:rPr>
                          <w:rFonts w:eastAsia="方正小标宋简体"/>
                          <w:color w:val="FF0000"/>
                          <w:spacing w:val="-60"/>
                          <w:w w:val="80"/>
                          <w:sz w:val="76"/>
                          <w:szCs w:val="76"/>
                        </w:rPr>
                      </w:pPr>
                      <w:r>
                        <w:rPr>
                          <w:rFonts w:hint="eastAsia" w:eastAsia="方正小标宋简体"/>
                          <w:color w:val="FF0000"/>
                          <w:spacing w:val="-60"/>
                          <w:w w:val="80"/>
                          <w:sz w:val="76"/>
                          <w:szCs w:val="76"/>
                        </w:rPr>
                        <w:t>中国物流与采购联合会文件</w:t>
                      </w:r>
                    </w:p>
                    <w:p/>
                  </w:txbxContent>
                </v:textbox>
              </v:shape>
            </w:pict>
          </mc:Fallback>
        </mc:AlternateContent>
      </w:r>
      <w:r>
        <w:rPr>
          <w:rFonts w:ascii="仿宋_GB2312" w:eastAsia="仿宋_GB2312"/>
          <w:kern w:val="0"/>
          <w:sz w:val="30"/>
          <w:szCs w:val="30"/>
        </w:rPr>
        <mc:AlternateContent>
          <mc:Choice Requires="wps">
            <w:drawing>
              <wp:anchor distT="0" distB="0" distL="114300" distR="114300" simplePos="0" relativeHeight="251658240" behindDoc="0" locked="0" layoutInCell="1" allowOverlap="1">
                <wp:simplePos x="0" y="0"/>
                <wp:positionH relativeFrom="column">
                  <wp:posOffset>90170</wp:posOffset>
                </wp:positionH>
                <wp:positionV relativeFrom="paragraph">
                  <wp:posOffset>1584960</wp:posOffset>
                </wp:positionV>
                <wp:extent cx="5363845" cy="0"/>
                <wp:effectExtent l="0" t="0" r="0" b="0"/>
                <wp:wrapNone/>
                <wp:docPr id="2" name="直线 3"/>
                <wp:cNvGraphicFramePr/>
                <a:graphic xmlns:a="http://schemas.openxmlformats.org/drawingml/2006/main">
                  <a:graphicData uri="http://schemas.microsoft.com/office/word/2010/wordprocessingShape">
                    <wps:wsp>
                      <wps:cNvSpPr/>
                      <wps:spPr>
                        <a:xfrm>
                          <a:off x="0" y="0"/>
                          <a:ext cx="5363845" cy="0"/>
                        </a:xfrm>
                        <a:prstGeom prst="line">
                          <a:avLst/>
                        </a:prstGeom>
                        <a:ln w="12700" cap="flat" cmpd="sng">
                          <a:solidFill>
                            <a:srgbClr val="FF3300"/>
                          </a:solidFill>
                          <a:prstDash val="solid"/>
                          <a:headEnd type="none" w="med" len="med"/>
                          <a:tailEnd type="none" w="med" len="med"/>
                        </a:ln>
                      </wps:spPr>
                      <wps:bodyPr upright="1"/>
                    </wps:wsp>
                  </a:graphicData>
                </a:graphic>
              </wp:anchor>
            </w:drawing>
          </mc:Choice>
          <mc:Fallback>
            <w:pict>
              <v:line id="直线 3" o:spid="_x0000_s1026" o:spt="20" style="position:absolute;left:0pt;margin-left:7.1pt;margin-top:124.8pt;height:0pt;width:422.35pt;z-index:251658240;mso-width-relative:page;mso-height-relative:page;" filled="f" stroked="t" coordsize="21600,21600" o:gfxdata="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wf9m6dgAAAAKAQAADwAAAAAAAAABACAAAAAi&#10;AAAAZHJzL2Rvd25yZXYueG1sUEsBAhQAFAAAAAgAh07iQNFlw8XRAQAAjgMAAA4AAAAAAAAAAQAg&#10;AAAAJwEAAGRycy9lMm9Eb2MueG1sUEsFBgAAAAAGAAYAWQEAAGoFAAAAAA==&#10;">
                <v:fill on="f" focussize="0,0"/>
                <v:stroke weight="1pt" color="#FF3300" joinstyle="round"/>
                <v:imagedata o:title=""/>
                <o:lock v:ext="edit" aspectratio="f"/>
              </v:line>
            </w:pict>
          </mc:Fallback>
        </mc:AlternateContent>
      </w:r>
    </w:p>
    <w:p>
      <w:pPr>
        <w:widowControl/>
        <w:tabs>
          <w:tab w:val="left" w:pos="4413"/>
          <w:tab w:val="left" w:pos="5688"/>
        </w:tabs>
        <w:ind w:left="93"/>
        <w:jc w:val="center"/>
        <w:rPr>
          <w:rFonts w:ascii="仿宋_GB2312" w:eastAsia="仿宋_GB2312"/>
          <w:kern w:val="0"/>
          <w:sz w:val="30"/>
          <w:szCs w:val="30"/>
        </w:rPr>
      </w:pPr>
    </w:p>
    <w:p>
      <w:pPr>
        <w:widowControl/>
        <w:tabs>
          <w:tab w:val="left" w:pos="4413"/>
          <w:tab w:val="left" w:pos="5688"/>
        </w:tabs>
        <w:ind w:left="93"/>
        <w:jc w:val="center"/>
        <w:rPr>
          <w:rFonts w:ascii="仿宋_GB2312" w:eastAsia="仿宋_GB2312"/>
          <w:color w:val="FFFFFF"/>
          <w:kern w:val="0"/>
          <w:sz w:val="30"/>
          <w:szCs w:val="30"/>
        </w:rPr>
      </w:pPr>
    </w:p>
    <w:p>
      <w:pPr>
        <w:widowControl/>
        <w:tabs>
          <w:tab w:val="left" w:pos="4413"/>
          <w:tab w:val="left" w:pos="5688"/>
        </w:tabs>
        <w:jc w:val="center"/>
        <w:rPr>
          <w:rFonts w:ascii="Times New Roman" w:hAnsi="Times New Roman" w:eastAsia="仿宋_GB2312" w:cs="Times New Roman"/>
          <w:color w:val="000000"/>
          <w:kern w:val="0"/>
          <w:sz w:val="30"/>
          <w:szCs w:val="30"/>
        </w:rPr>
      </w:pPr>
      <w:r>
        <w:rPr>
          <w:rFonts w:hint="eastAsia" w:ascii="Times New Roman" w:hAnsi="Times New Roman" w:eastAsia="仿宋_GB2312" w:cs="Times New Roman"/>
          <w:color w:val="000000"/>
          <w:kern w:val="0"/>
          <w:sz w:val="30"/>
          <w:szCs w:val="30"/>
        </w:rPr>
        <w:t>物联网字〔</w:t>
      </w:r>
      <w:r>
        <w:rPr>
          <w:rFonts w:ascii="Times New Roman" w:hAnsi="Times New Roman" w:eastAsia="仿宋_GB2312" w:cs="Times New Roman"/>
          <w:color w:val="000000"/>
          <w:kern w:val="0"/>
          <w:sz w:val="30"/>
          <w:szCs w:val="30"/>
        </w:rPr>
        <w:t>201</w:t>
      </w:r>
      <w:r>
        <w:rPr>
          <w:rFonts w:hint="eastAsia" w:ascii="Times New Roman" w:hAnsi="Times New Roman" w:eastAsia="仿宋_GB2312" w:cs="Times New Roman"/>
          <w:color w:val="000000"/>
          <w:kern w:val="0"/>
          <w:sz w:val="30"/>
          <w:szCs w:val="30"/>
        </w:rPr>
        <w:t>7</w:t>
      </w:r>
      <w:r>
        <w:rPr>
          <w:rFonts w:ascii="Times New Roman" w:hAnsi="Times New Roman" w:eastAsia="仿宋_GB2312" w:cs="Times New Roman"/>
          <w:color w:val="000000"/>
          <w:kern w:val="0"/>
          <w:sz w:val="30"/>
          <w:szCs w:val="30"/>
        </w:rPr>
        <w:t>〕</w:t>
      </w:r>
      <w:r>
        <w:rPr>
          <w:rFonts w:hint="eastAsia" w:ascii="Times New Roman" w:hAnsi="Times New Roman" w:eastAsia="仿宋_GB2312" w:cs="Times New Roman"/>
          <w:color w:val="000000"/>
          <w:kern w:val="0"/>
          <w:sz w:val="30"/>
          <w:szCs w:val="30"/>
        </w:rPr>
        <w:t>156号</w:t>
      </w:r>
    </w:p>
    <w:p>
      <w:pPr>
        <w:jc w:val="center"/>
        <w:rPr>
          <w:rFonts w:ascii="仿宋" w:hAnsi="仿宋" w:eastAsia="仿宋"/>
          <w:sz w:val="30"/>
          <w:szCs w:val="30"/>
        </w:rPr>
      </w:pPr>
    </w:p>
    <w:p>
      <w:pPr>
        <w:adjustRightInd w:val="0"/>
        <w:snapToGrid w:val="0"/>
        <w:jc w:val="center"/>
        <w:rPr>
          <w:rFonts w:ascii="方正小标宋简体" w:hAnsi="宋体" w:eastAsia="方正小标宋简体" w:cs="Times New Roman"/>
          <w:sz w:val="40"/>
          <w:szCs w:val="40"/>
        </w:rPr>
      </w:pPr>
      <w:r>
        <w:rPr>
          <w:rFonts w:hint="eastAsia" w:ascii="方正小标宋简体" w:hAnsi="宋体" w:eastAsia="方正小标宋简体" w:cs="Times New Roman"/>
          <w:sz w:val="40"/>
          <w:szCs w:val="40"/>
        </w:rPr>
        <w:t>关于发布《物流行业诚信广州倡议书》的通知</w:t>
      </w:r>
    </w:p>
    <w:p/>
    <w:p/>
    <w:p>
      <w:pPr>
        <w:adjustRightInd w:val="0"/>
        <w:snapToGrid w:val="0"/>
        <w:spacing w:line="600" w:lineRule="exact"/>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各有关单位：</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为了更好的贯彻落实国务院印发的《社会信用体系建设规划纲要（2014—2020年）》以及国家发改委印发的《关于对运输物流行业严重违法失信市场主体及其有关人员实施联合惩戒的合作备忘录》的通知的有关精神要求，我会定于2017年11月18日在广州召开的“2017（第十五届）中国物流企业家年会”上，发布《物流行业诚信广州倡议书》（以下简称《倡议书）。倡导全国各地物流协会及相关企业共同签署《倡议书》，承担诚信责任，参与诚信信息共享，推动诚信交易，共同营造讲诚信、明责任、重维权的行业生态。届时，我会将和地方物流行业协会、部分重点物流企业和物流平台共同签署倡议书。现就有关事宜通知如下：</w:t>
      </w:r>
    </w:p>
    <w:p>
      <w:pPr>
        <w:spacing w:line="640" w:lineRule="exact"/>
        <w:ind w:firstLine="600" w:firstLineChars="200"/>
        <w:rPr>
          <w:rFonts w:ascii="黑体" w:hAnsi="黑体" w:eastAsia="黑体" w:cs="Times New Roman"/>
          <w:sz w:val="30"/>
          <w:szCs w:val="30"/>
        </w:rPr>
      </w:pPr>
      <w:r>
        <w:rPr>
          <w:rFonts w:hint="eastAsia" w:ascii="黑体" w:hAnsi="黑体" w:eastAsia="黑体" w:cs="Times New Roman"/>
          <w:sz w:val="30"/>
          <w:szCs w:val="30"/>
        </w:rPr>
        <w:t>一、物流行业诚信工作的重要性</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近年来，在《国务院关于印发社会信用体系建设规划纲要（2014-2020年）的通知》、《国务院关于建立完善守信联合激励和失信联合惩戒制度加快推进社会诚信建设的指导意见》的指导下，诸多行业在全国范围内开展了以“失信联合惩戒”为突破口的行业诚信建设，取得了实效。物流行业诚信建设在推动行业发展、促进行业转型升级、提升物流服务质量和效率等方面具有重要意义。建立诚信营商环境，推动失信信息共享，惩戒失信的物流参与者，使其“一处失信、处处受限”已经成为行业的普遍共识。</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中物联依托国家发改委等部门制定的信用考核评价监督管理体系，组织全行业建立诚信自律机制，建设具有违法行为和失信记录展示、投诉、申述、处理的“物流行业诚信平台”，共享物流参与者的诚信名单（“红名单”）和失信名单（“黑名单”），方便各单位在采购物流服务、招标投标、人员招聘等方面优先选择信用评价等级高的物流企业和从业人员。对失信企业和从业人员，中物联将配合政府部门逐步建立跨地区、跨行业信用奖惩联动机制。</w:t>
      </w:r>
    </w:p>
    <w:p>
      <w:pPr>
        <w:spacing w:line="640" w:lineRule="exact"/>
        <w:ind w:firstLine="600" w:firstLineChars="200"/>
        <w:rPr>
          <w:rFonts w:ascii="黑体" w:hAnsi="黑体" w:eastAsia="黑体" w:cs="Times New Roman"/>
          <w:sz w:val="30"/>
          <w:szCs w:val="30"/>
        </w:rPr>
      </w:pPr>
      <w:r>
        <w:rPr>
          <w:rFonts w:hint="eastAsia" w:ascii="黑体" w:hAnsi="黑体" w:eastAsia="黑体" w:cs="Times New Roman"/>
          <w:sz w:val="30"/>
          <w:szCs w:val="30"/>
        </w:rPr>
        <w:t>二、物流行业诚信倡议</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今年九月六日，国家发改委印发了《关于对运输物流行业严重违法失信市场主体及其有关人员实施联合惩戒的合作备忘录》的通知。国家发改委等20个部门共同签署一致行动意见，中物联组织了23家物流平台企业，共同签署了《物流服务平台加强信用建设实施联合惩戒备忘录》作为文件附件予以公布。以此为标志，开启了物流行业诚信建设的新起点。</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为了进一步扩大物流诚信建设在行业内的影响，现中物联以认同并签署倡议书的方式，倡议全行业的物流企业及相关企业，参与诚信信息共享，推动行业健康有序发展，承担诚信责任，促进诚信交易，营造讲诚信、明责任、重维权的行业生态。</w:t>
      </w:r>
    </w:p>
    <w:p>
      <w:pPr>
        <w:spacing w:line="640" w:lineRule="exact"/>
        <w:ind w:firstLine="600" w:firstLineChars="200"/>
        <w:rPr>
          <w:rFonts w:ascii="黑体" w:hAnsi="黑体" w:eastAsia="黑体" w:cs="Times New Roman"/>
          <w:sz w:val="30"/>
          <w:szCs w:val="30"/>
        </w:rPr>
      </w:pPr>
      <w:r>
        <w:rPr>
          <w:rFonts w:hint="eastAsia" w:ascii="黑体" w:hAnsi="黑体" w:eastAsia="黑体" w:cs="Times New Roman"/>
          <w:sz w:val="30"/>
          <w:szCs w:val="30"/>
        </w:rPr>
        <w:t>三、践行诚信倡议</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中物联希望凡是自愿签署《倡议书》的企业，都能够自觉践行诚信倡议，推动行业诚信、促进诚信信息互联互通、自下而上形成诚信共治的互惠互利合作体系。《倡议书》是物流行业以诚信交易为核心的自律性行业公约。他从行业竞争、公共管理、公平交易、合同履行、服务质量、纠纷解决、警示惩罚等方面对物流交易各方进行了限制和约束。签署《倡议书》让企业或个体在诚信经营方面，将有规可循，并在交易中等同于做出“可信承诺”，以“诚信形象”接受社会监督，有效促进物流诚信交易。</w:t>
      </w:r>
    </w:p>
    <w:p>
      <w:pPr>
        <w:spacing w:line="640" w:lineRule="exact"/>
        <w:ind w:firstLine="600" w:firstLineChars="200"/>
        <w:rPr>
          <w:rFonts w:ascii="黑体" w:hAnsi="黑体" w:eastAsia="黑体" w:cs="Times New Roman"/>
          <w:sz w:val="30"/>
          <w:szCs w:val="30"/>
        </w:rPr>
      </w:pPr>
      <w:r>
        <w:rPr>
          <w:rFonts w:hint="eastAsia" w:ascii="黑体" w:hAnsi="黑体" w:eastAsia="黑体" w:cs="Times New Roman"/>
          <w:sz w:val="30"/>
          <w:szCs w:val="30"/>
        </w:rPr>
        <w:t>四、签署《倡议书》的方式</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（一）凡承认并自愿遵守《倡议书》的物流及相关企业，都可自愿签署。</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（二）企业需填写《物流行业诚信广州倡议书签署备案表》并加盖公章传到中物联网络事业部，经审核后正式确认。</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（三）对正式加入企业将通过中物联诚信平台进行公示。</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（四）联系方式</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联系人：王丁平，晏庆华</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联系电话：18601254631，13381361756，010-58566588-117</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传真：010-58566576</w:t>
      </w: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E-mail： xyxa919@126.com</w:t>
      </w:r>
    </w:p>
    <w:p>
      <w:pPr>
        <w:spacing w:line="640" w:lineRule="exact"/>
        <w:ind w:firstLine="600" w:firstLineChars="200"/>
        <w:rPr>
          <w:rFonts w:ascii="Times New Roman" w:hAnsi="Times New Roman" w:eastAsia="仿宋_GB2312" w:cs="Times New Roman"/>
          <w:sz w:val="30"/>
          <w:szCs w:val="30"/>
        </w:rPr>
      </w:pPr>
    </w:p>
    <w:p>
      <w:pPr>
        <w:spacing w:line="640" w:lineRule="exact"/>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附件：1、物流行业诚信广州倡议书</w:t>
      </w:r>
    </w:p>
    <w:p>
      <w:pPr>
        <w:spacing w:line="640" w:lineRule="exact"/>
        <w:ind w:firstLine="1500" w:firstLineChars="5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2、物流行业诚信广州倡议书签署备案表</w:t>
      </w:r>
    </w:p>
    <w:p>
      <w:pPr>
        <w:spacing w:line="640" w:lineRule="exact"/>
        <w:ind w:firstLine="600" w:firstLineChars="200"/>
        <w:rPr>
          <w:rFonts w:ascii="Times New Roman" w:hAnsi="Times New Roman" w:eastAsia="仿宋_GB2312" w:cs="Times New Roman"/>
          <w:sz w:val="30"/>
          <w:szCs w:val="30"/>
        </w:rPr>
      </w:pPr>
    </w:p>
    <w:p/>
    <w:p/>
    <w:p>
      <w:r>
        <w:rPr>
          <w:rFonts w:hint="eastAsia"/>
        </w:rPr>
        <w:drawing>
          <wp:anchor distT="0" distB="0" distL="114300" distR="114300" simplePos="0" relativeHeight="251657216" behindDoc="1" locked="0" layoutInCell="1" allowOverlap="1">
            <wp:simplePos x="0" y="0"/>
            <wp:positionH relativeFrom="column">
              <wp:posOffset>3227070</wp:posOffset>
            </wp:positionH>
            <wp:positionV relativeFrom="paragraph">
              <wp:posOffset>121920</wp:posOffset>
            </wp:positionV>
            <wp:extent cx="1632585" cy="1608455"/>
            <wp:effectExtent l="19050" t="0" r="5715" b="0"/>
            <wp:wrapNone/>
            <wp:docPr id="4" name="图片 4" descr="中国物流与采购联合会红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中国物流与采购联合会红章"/>
                    <pic:cNvPicPr>
                      <a:picLocks noChangeAspect="1" noChangeArrowheads="1"/>
                    </pic:cNvPicPr>
                  </pic:nvPicPr>
                  <pic:blipFill>
                    <a:blip r:embed="rId6"/>
                    <a:srcRect/>
                    <a:stretch>
                      <a:fillRect/>
                    </a:stretch>
                  </pic:blipFill>
                  <pic:spPr>
                    <a:xfrm>
                      <a:off x="0" y="0"/>
                      <a:ext cx="1632585" cy="1608455"/>
                    </a:xfrm>
                    <a:prstGeom prst="rect">
                      <a:avLst/>
                    </a:prstGeom>
                    <a:noFill/>
                  </pic:spPr>
                </pic:pic>
              </a:graphicData>
            </a:graphic>
          </wp:anchor>
        </w:drawing>
      </w:r>
    </w:p>
    <w:p/>
    <w:p/>
    <w:p/>
    <w:p/>
    <w:p>
      <w:pPr>
        <w:ind w:firstLine="4800" w:firstLineChars="1600"/>
        <w:jc w:val="left"/>
        <w:rPr>
          <w:rFonts w:ascii="仿宋_GB2312" w:hAnsi="仿宋" w:eastAsia="仿宋_GB2312"/>
          <w:sz w:val="30"/>
          <w:szCs w:val="30"/>
        </w:rPr>
      </w:pPr>
      <w:r>
        <w:rPr>
          <w:rFonts w:hint="eastAsia" w:ascii="仿宋_GB2312" w:hAnsi="仿宋" w:eastAsia="仿宋_GB2312"/>
          <w:sz w:val="30"/>
          <w:szCs w:val="30"/>
        </w:rPr>
        <w:t>二</w:t>
      </w:r>
      <w:r>
        <w:rPr>
          <w:rFonts w:hint="eastAsia" w:ascii="宋体" w:hAnsi="宋体" w:eastAsia="宋体" w:cs="宋体"/>
          <w:sz w:val="30"/>
          <w:szCs w:val="30"/>
        </w:rPr>
        <w:t>〇</w:t>
      </w:r>
      <w:r>
        <w:rPr>
          <w:rFonts w:hint="eastAsia" w:ascii="仿宋_GB2312" w:hAnsi="仿宋" w:eastAsia="仿宋_GB2312"/>
          <w:sz w:val="30"/>
          <w:szCs w:val="30"/>
        </w:rPr>
        <w:t>一七年十月三十日</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pBdr>
          <w:top w:val="single" w:color="auto" w:sz="4" w:space="1"/>
          <w:bottom w:val="single" w:color="auto" w:sz="4" w:space="1"/>
        </w:pBdr>
        <w:ind w:firstLine="75" w:firstLineChars="25"/>
        <w:rPr>
          <w:rFonts w:ascii="Times New Roman" w:hAnsi="Times New Roman" w:eastAsia="仿宋_GB2312" w:cs="Times New Roman"/>
          <w:kern w:val="0"/>
          <w:sz w:val="30"/>
          <w:szCs w:val="30"/>
        </w:rPr>
      </w:pPr>
      <w:r>
        <w:rPr>
          <w:rFonts w:ascii="Times New Roman" w:eastAsia="仿宋_GB2312" w:cs="Times New Roman"/>
          <w:kern w:val="0"/>
          <w:sz w:val="30"/>
          <w:szCs w:val="30"/>
        </w:rPr>
        <w:t>中国物流与采购联合会</w:t>
      </w:r>
      <w:r>
        <w:rPr>
          <w:rFonts w:ascii="Times New Roman" w:hAnsi="Times New Roman" w:eastAsia="仿宋_GB2312" w:cs="Times New Roman"/>
          <w:kern w:val="0"/>
          <w:sz w:val="30"/>
          <w:szCs w:val="30"/>
        </w:rPr>
        <w:t xml:space="preserve">                  2017</w:t>
      </w:r>
      <w:r>
        <w:rPr>
          <w:rFonts w:ascii="Times New Roman" w:eastAsia="仿宋_GB2312" w:cs="Times New Roman"/>
          <w:kern w:val="0"/>
          <w:sz w:val="30"/>
          <w:szCs w:val="30"/>
        </w:rPr>
        <w:t>年</w:t>
      </w:r>
      <w:r>
        <w:rPr>
          <w:rFonts w:hint="eastAsia" w:ascii="Times New Roman" w:hAnsi="Times New Roman" w:eastAsia="仿宋_GB2312" w:cs="Times New Roman"/>
          <w:kern w:val="0"/>
          <w:sz w:val="30"/>
          <w:szCs w:val="30"/>
        </w:rPr>
        <w:t>10</w:t>
      </w:r>
      <w:r>
        <w:rPr>
          <w:rFonts w:ascii="Times New Roman" w:eastAsia="仿宋_GB2312" w:cs="Times New Roman"/>
          <w:kern w:val="0"/>
          <w:sz w:val="30"/>
          <w:szCs w:val="30"/>
        </w:rPr>
        <w:t>月</w:t>
      </w:r>
      <w:r>
        <w:rPr>
          <w:rFonts w:hint="eastAsia" w:ascii="Times New Roman" w:hAnsi="Times New Roman" w:eastAsia="仿宋_GB2312" w:cs="Times New Roman"/>
          <w:kern w:val="0"/>
          <w:sz w:val="30"/>
          <w:szCs w:val="30"/>
        </w:rPr>
        <w:t>30</w:t>
      </w:r>
      <w:r>
        <w:rPr>
          <w:rFonts w:ascii="Times New Roman" w:eastAsia="仿宋_GB2312" w:cs="Times New Roman"/>
          <w:kern w:val="0"/>
          <w:sz w:val="30"/>
          <w:szCs w:val="30"/>
        </w:rPr>
        <w:t>日印发</w:t>
      </w:r>
    </w:p>
    <w:p>
      <w:pPr>
        <w:rPr>
          <w:rFonts w:ascii="Times New Roman" w:hAnsi="黑体" w:eastAsia="黑体" w:cs="Times New Roman"/>
          <w:sz w:val="30"/>
          <w:szCs w:val="30"/>
        </w:rPr>
      </w:pPr>
      <w:r>
        <w:rPr>
          <w:rFonts w:hint="eastAsia" w:ascii="Times New Roman" w:hAnsi="黑体" w:eastAsia="黑体" w:cs="Times New Roman"/>
          <w:sz w:val="30"/>
          <w:szCs w:val="30"/>
        </w:rPr>
        <w:t>附件1：</w:t>
      </w:r>
    </w:p>
    <w:p>
      <w:pPr>
        <w:adjustRightInd w:val="0"/>
        <w:snapToGrid w:val="0"/>
        <w:jc w:val="center"/>
        <w:rPr>
          <w:rFonts w:ascii="方正小标宋简体" w:hAnsi="宋体" w:eastAsia="方正小标宋简体" w:cs="Times New Roman"/>
          <w:sz w:val="40"/>
          <w:szCs w:val="40"/>
        </w:rPr>
      </w:pPr>
      <w:r>
        <w:rPr>
          <w:rFonts w:hint="eastAsia" w:ascii="方正小标宋简体" w:hAnsi="宋体" w:eastAsia="方正小标宋简体" w:cs="Times New Roman"/>
          <w:sz w:val="40"/>
          <w:szCs w:val="40"/>
        </w:rPr>
        <w:t>物流行业诚信广州倡议书</w:t>
      </w:r>
    </w:p>
    <w:p>
      <w:pPr>
        <w:ind w:firstLine="565" w:firstLineChars="202"/>
        <w:rPr>
          <w:sz w:val="28"/>
          <w:szCs w:val="28"/>
        </w:rPr>
      </w:pP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为贯彻落实《国务院关于印发社会信用体系建设规划纲要（2014-2020年）的通知》，加快推进国家发展改革委等二十部委联合签署的《关于对运输物流行业严重违法失信市场主体及其有关人员实施联合惩戒的合作备忘录》。为了进一步扩大物流诚信建设在行业内的影响，现中物联发布物流行业诚信广州倡议书，倡议各地物流协会及全行业的物流企业、相关企业共同遵守，内容如下：</w:t>
      </w:r>
    </w:p>
    <w:p>
      <w:pPr>
        <w:spacing w:line="660" w:lineRule="exact"/>
        <w:ind w:firstLine="660" w:firstLineChars="220"/>
        <w:rPr>
          <w:rFonts w:ascii="黑体" w:hAnsi="黑体" w:eastAsia="黑体" w:cs="Times New Roman"/>
          <w:sz w:val="30"/>
          <w:szCs w:val="30"/>
        </w:rPr>
      </w:pPr>
      <w:r>
        <w:rPr>
          <w:rFonts w:hint="eastAsia" w:ascii="黑体" w:hAnsi="黑体" w:eastAsia="黑体" w:cs="Times New Roman"/>
          <w:sz w:val="30"/>
          <w:szCs w:val="30"/>
        </w:rPr>
        <w:t>一、物流企业诚信倡议：</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（一）向与本企业交易的各方宣传“诚信为本”的理念，辅助各方建立诚信品牌</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（二）强化企业自律，维护市场秩序，抵制恶性竞争</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（三）维护交易双方权利，建立产品和服务质量保证机制</w:t>
      </w:r>
    </w:p>
    <w:p>
      <w:pPr>
        <w:spacing w:line="660" w:lineRule="exact"/>
        <w:ind w:firstLine="677" w:firstLineChars="220"/>
        <w:rPr>
          <w:rFonts w:ascii="Times New Roman" w:hAnsi="Times New Roman" w:eastAsia="仿宋_GB2312" w:cs="Times New Roman"/>
          <w:spacing w:val="4"/>
          <w:sz w:val="30"/>
          <w:szCs w:val="30"/>
        </w:rPr>
      </w:pPr>
      <w:r>
        <w:rPr>
          <w:rFonts w:hint="eastAsia" w:ascii="Times New Roman" w:hAnsi="Times New Roman" w:eastAsia="仿宋_GB2312" w:cs="Times New Roman"/>
          <w:spacing w:val="4"/>
          <w:sz w:val="30"/>
          <w:szCs w:val="30"/>
        </w:rPr>
        <w:t>（四）自觉建立诚信信息互认与披露机制，参与中物联诚信互联</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（五）加强诚信管理，完善诚信体系，促进投诉的积极解决</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（六）树立企业诚信服务标杆，警示失信服务行为，促进行业自律</w:t>
      </w:r>
    </w:p>
    <w:p>
      <w:pPr>
        <w:spacing w:line="660" w:lineRule="exact"/>
        <w:ind w:firstLine="677" w:firstLineChars="220"/>
        <w:rPr>
          <w:rFonts w:ascii="Times New Roman" w:hAnsi="Times New Roman" w:eastAsia="仿宋_GB2312" w:cs="Times New Roman"/>
          <w:spacing w:val="4"/>
          <w:sz w:val="30"/>
          <w:szCs w:val="30"/>
        </w:rPr>
      </w:pPr>
      <w:r>
        <w:rPr>
          <w:rFonts w:hint="eastAsia" w:ascii="Times New Roman" w:hAnsi="Times New Roman" w:eastAsia="仿宋_GB2312" w:cs="Times New Roman"/>
          <w:spacing w:val="4"/>
          <w:sz w:val="30"/>
          <w:szCs w:val="30"/>
        </w:rPr>
        <w:t>（七）保持客观、准确、公正，保证披露信息的合法性、真实性</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（八）自愿接受社会公众、主管部门及新闻媒体的监督。</w:t>
      </w:r>
    </w:p>
    <w:p>
      <w:pPr>
        <w:spacing w:line="660" w:lineRule="exact"/>
        <w:ind w:firstLine="660" w:firstLineChars="220"/>
        <w:rPr>
          <w:rFonts w:ascii="黑体" w:hAnsi="黑体" w:eastAsia="黑体" w:cs="Times New Roman"/>
          <w:sz w:val="30"/>
          <w:szCs w:val="30"/>
        </w:rPr>
      </w:pPr>
      <w:r>
        <w:rPr>
          <w:rFonts w:hint="eastAsia" w:ascii="黑体" w:hAnsi="黑体" w:eastAsia="黑体" w:cs="Times New Roman"/>
          <w:sz w:val="30"/>
          <w:szCs w:val="30"/>
        </w:rPr>
        <w:t>二、物流服务方诚信倡议：</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（一）宣传“诚信为本”的理念，牢固司机等员工的诚信意识，倡导关爱司机的行为</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w:t>
      </w:r>
      <w:r>
        <w:rPr>
          <w:rFonts w:hint="eastAsia" w:ascii="Times New Roman" w:hAnsi="Times New Roman" w:eastAsia="仿宋_GB2312" w:cs="Times New Roman"/>
          <w:sz w:val="30"/>
          <w:szCs w:val="30"/>
        </w:rPr>
        <w:tab/>
      </w:r>
      <w:r>
        <w:rPr>
          <w:rFonts w:hint="eastAsia" w:ascii="Times New Roman" w:hAnsi="Times New Roman" w:eastAsia="仿宋_GB2312" w:cs="Times New Roman"/>
          <w:sz w:val="30"/>
          <w:szCs w:val="30"/>
        </w:rPr>
        <w:t>依法经营，诚实信用，规范操作，文明从业</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w:t>
      </w:r>
      <w:r>
        <w:rPr>
          <w:rFonts w:hint="eastAsia" w:ascii="Times New Roman" w:hAnsi="Times New Roman" w:eastAsia="仿宋_GB2312" w:cs="Times New Roman"/>
          <w:sz w:val="30"/>
          <w:szCs w:val="30"/>
        </w:rPr>
        <w:tab/>
      </w:r>
      <w:r>
        <w:rPr>
          <w:rFonts w:hint="eastAsia" w:ascii="Times New Roman" w:hAnsi="Times New Roman" w:eastAsia="仿宋_GB2312" w:cs="Times New Roman"/>
          <w:sz w:val="30"/>
          <w:szCs w:val="30"/>
        </w:rPr>
        <w:t>保证企业信息和服务信息的真实性，不误导、欺骗客户，确保公平交易</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（四）杜绝虚假承诺，重视合同履行，提高服务质量，勇于承担责任</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（五）恪守商业信誉，不发生损害客户利益的行为</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w:t>
      </w:r>
      <w:r>
        <w:rPr>
          <w:rFonts w:hint="eastAsia" w:ascii="Times New Roman" w:hAnsi="Times New Roman" w:eastAsia="仿宋_GB2312" w:cs="Times New Roman"/>
          <w:sz w:val="30"/>
          <w:szCs w:val="30"/>
        </w:rPr>
        <w:tab/>
      </w:r>
      <w:r>
        <w:rPr>
          <w:rFonts w:hint="eastAsia" w:ascii="Times New Roman" w:hAnsi="Times New Roman" w:eastAsia="仿宋_GB2312" w:cs="Times New Roman"/>
          <w:sz w:val="30"/>
          <w:szCs w:val="30"/>
        </w:rPr>
        <w:t>如发生交易纠纷，积极主动解决，不推诿回避</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（七）如发生失信行为，自愿接受警示惩戒</w:t>
      </w:r>
    </w:p>
    <w:p>
      <w:pPr>
        <w:spacing w:line="660" w:lineRule="exact"/>
        <w:ind w:firstLine="660" w:firstLineChars="220"/>
        <w:rPr>
          <w:rFonts w:ascii="黑体" w:hAnsi="黑体" w:eastAsia="黑体" w:cs="Times New Roman"/>
          <w:sz w:val="30"/>
          <w:szCs w:val="30"/>
        </w:rPr>
      </w:pPr>
      <w:r>
        <w:rPr>
          <w:rFonts w:hint="eastAsia" w:ascii="黑体" w:hAnsi="黑体" w:eastAsia="黑体" w:cs="Times New Roman"/>
          <w:sz w:val="30"/>
          <w:szCs w:val="30"/>
        </w:rPr>
        <w:t>三、物流需求方诚信倡议：</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（一）重视商业诚信，与服务方建立良好的合作伙伴关系</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（二）保障公平交易，重视服务方权益，杜绝霸王条款</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（三）杜绝虚假承诺，重视合同履行，不拖欠运费</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w:t>
      </w:r>
      <w:r>
        <w:rPr>
          <w:rFonts w:hint="eastAsia" w:ascii="Times New Roman" w:hAnsi="Times New Roman" w:eastAsia="仿宋_GB2312" w:cs="Times New Roman"/>
          <w:sz w:val="30"/>
          <w:szCs w:val="30"/>
        </w:rPr>
        <w:tab/>
      </w:r>
      <w:r>
        <w:rPr>
          <w:rFonts w:hint="eastAsia" w:ascii="Times New Roman" w:hAnsi="Times New Roman" w:eastAsia="仿宋_GB2312" w:cs="Times New Roman"/>
          <w:sz w:val="30"/>
          <w:szCs w:val="30"/>
        </w:rPr>
        <w:t>保证需求信息的真实性，准确性，不损害服务方利益</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（五）如发生交易纠纷，积极主动解决，不推诿回避</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（六）如发生失信行为，自愿接受警示惩戒</w:t>
      </w:r>
    </w:p>
    <w:p>
      <w:pPr>
        <w:spacing w:line="660" w:lineRule="exact"/>
        <w:ind w:firstLine="660" w:firstLineChars="220"/>
        <w:rPr>
          <w:rFonts w:ascii="黑体" w:hAnsi="黑体" w:eastAsia="黑体" w:cs="Times New Roman"/>
          <w:sz w:val="30"/>
          <w:szCs w:val="30"/>
        </w:rPr>
      </w:pPr>
      <w:r>
        <w:rPr>
          <w:rFonts w:hint="eastAsia" w:ascii="黑体" w:hAnsi="黑体" w:eastAsia="黑体" w:cs="Times New Roman"/>
          <w:sz w:val="30"/>
          <w:szCs w:val="30"/>
        </w:rPr>
        <w:t>四、司机诚信倡议：</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（一）遵守道路运输相关法律、行政法规、规章的有关情况，</w:t>
      </w:r>
      <w:bookmarkStart w:id="0" w:name="_GoBack"/>
      <w:r>
        <w:rPr>
          <w:rFonts w:hint="eastAsia" w:ascii="Times New Roman" w:hAnsi="Times New Roman" w:eastAsia="仿宋_GB2312" w:cs="Times New Roman"/>
          <w:sz w:val="30"/>
          <w:szCs w:val="30"/>
        </w:rPr>
        <w:t>保证道路运输安全</w:t>
      </w:r>
    </w:p>
    <w:bookmarkEnd w:id="0"/>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w:t>
      </w:r>
      <w:r>
        <w:rPr>
          <w:rFonts w:hint="eastAsia" w:ascii="Times New Roman" w:hAnsi="Times New Roman" w:eastAsia="仿宋_GB2312" w:cs="Times New Roman"/>
          <w:sz w:val="30"/>
          <w:szCs w:val="30"/>
        </w:rPr>
        <w:tab/>
      </w:r>
      <w:r>
        <w:rPr>
          <w:rFonts w:hint="eastAsia" w:ascii="Times New Roman" w:hAnsi="Times New Roman" w:eastAsia="仿宋_GB2312" w:cs="Times New Roman"/>
          <w:sz w:val="30"/>
          <w:szCs w:val="30"/>
        </w:rPr>
        <w:t>诚实信用，规范操作，文明从业</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（三）保证个人信息和服务信息的真实性，不误导、欺骗客户，确保公平交易</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（四）杜绝虚假承诺，重视合同履行，提高服务质量，勇于承担责任</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（五）恪守商业信誉，不发生损害客户利益的行为</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（六）如发生交易纠纷，积极主动解决，不推诿回避</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（七）如发生失信行为，自愿接受警示惩戒</w:t>
      </w:r>
    </w:p>
    <w:p>
      <w:pPr>
        <w:spacing w:line="660" w:lineRule="exact"/>
        <w:ind w:firstLine="660" w:firstLineChars="22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物流行业的诚信建设关乎物流企业的发展，更关乎整个物流行业相关交易方及交易环境的良性发展。我们愿同心携手，承担诚信责任，营造讲诚信、明责任、重维权的行业生态，共筑物流行业的诚信长城。</w:t>
      </w:r>
    </w:p>
    <w:p>
      <w:pPr>
        <w:spacing w:line="660" w:lineRule="exact"/>
        <w:ind w:firstLine="660" w:firstLineChars="220"/>
        <w:rPr>
          <w:rFonts w:ascii="Times New Roman" w:hAnsi="Times New Roman" w:eastAsia="仿宋_GB2312" w:cs="Times New Roman"/>
          <w:sz w:val="30"/>
          <w:szCs w:val="30"/>
        </w:rPr>
      </w:pPr>
    </w:p>
    <w:p>
      <w:pPr>
        <w:spacing w:line="660" w:lineRule="exact"/>
        <w:ind w:firstLine="660" w:firstLineChars="220"/>
        <w:rPr>
          <w:rFonts w:ascii="Times New Roman" w:hAnsi="Times New Roman" w:eastAsia="仿宋_GB2312" w:cs="Times New Roman"/>
          <w:sz w:val="30"/>
          <w:szCs w:val="30"/>
        </w:rPr>
      </w:pPr>
    </w:p>
    <w:p>
      <w:pPr>
        <w:ind w:firstLine="565" w:firstLineChars="202"/>
        <w:rPr>
          <w:sz w:val="28"/>
          <w:szCs w:val="28"/>
        </w:rPr>
      </w:pPr>
    </w:p>
    <w:p>
      <w:pPr>
        <w:ind w:firstLine="565" w:firstLineChars="202"/>
        <w:rPr>
          <w:sz w:val="28"/>
          <w:szCs w:val="28"/>
        </w:rPr>
      </w:pPr>
    </w:p>
    <w:p>
      <w:pPr>
        <w:rPr>
          <w:rFonts w:ascii="Times New Roman" w:hAnsi="黑体" w:eastAsia="黑体" w:cs="Times New Roman"/>
          <w:sz w:val="30"/>
          <w:szCs w:val="30"/>
        </w:rPr>
      </w:pPr>
    </w:p>
    <w:p>
      <w:pPr>
        <w:rPr>
          <w:rFonts w:ascii="Times New Roman" w:hAnsi="黑体" w:eastAsia="黑体" w:cs="Times New Roman"/>
          <w:sz w:val="30"/>
          <w:szCs w:val="30"/>
        </w:rPr>
      </w:pPr>
      <w:r>
        <w:rPr>
          <w:rFonts w:hint="eastAsia" w:ascii="Times New Roman" w:hAnsi="黑体" w:eastAsia="黑体" w:cs="Times New Roman"/>
          <w:sz w:val="30"/>
          <w:szCs w:val="30"/>
        </w:rPr>
        <w:t>附件2：</w:t>
      </w:r>
    </w:p>
    <w:tbl>
      <w:tblPr>
        <w:tblStyle w:val="8"/>
        <w:tblpPr w:leftFromText="180" w:rightFromText="180" w:vertAnchor="page" w:horzAnchor="margin" w:tblpXSpec="center" w:tblpY="2130"/>
        <w:tblW w:w="9611" w:type="dxa"/>
        <w:tblInd w:w="0" w:type="dxa"/>
        <w:tblLayout w:type="fixed"/>
        <w:tblCellMar>
          <w:top w:w="0" w:type="dxa"/>
          <w:left w:w="108" w:type="dxa"/>
          <w:bottom w:w="0" w:type="dxa"/>
          <w:right w:w="108" w:type="dxa"/>
        </w:tblCellMar>
      </w:tblPr>
      <w:tblGrid>
        <w:gridCol w:w="1101"/>
        <w:gridCol w:w="1234"/>
        <w:gridCol w:w="183"/>
        <w:gridCol w:w="1234"/>
        <w:gridCol w:w="1134"/>
        <w:gridCol w:w="1559"/>
        <w:gridCol w:w="1134"/>
        <w:gridCol w:w="2032"/>
      </w:tblGrid>
      <w:tr>
        <w:tblPrEx>
          <w:tblLayout w:type="fixed"/>
          <w:tblCellMar>
            <w:top w:w="0" w:type="dxa"/>
            <w:left w:w="108" w:type="dxa"/>
            <w:bottom w:w="0" w:type="dxa"/>
            <w:right w:w="108" w:type="dxa"/>
          </w:tblCellMar>
        </w:tblPrEx>
        <w:trPr>
          <w:trHeight w:val="585" w:hRule="atLeast"/>
        </w:trPr>
        <w:tc>
          <w:tcPr>
            <w:tcW w:w="9611" w:type="dxa"/>
            <w:gridSpan w:val="8"/>
            <w:tcBorders>
              <w:bottom w:val="single" w:color="auto" w:sz="4" w:space="0"/>
            </w:tcBorders>
            <w:shd w:val="clear" w:color="auto" w:fill="auto"/>
            <w:vAlign w:val="center"/>
          </w:tcPr>
          <w:p>
            <w:pPr>
              <w:adjustRightInd w:val="0"/>
              <w:snapToGrid w:val="0"/>
              <w:jc w:val="center"/>
              <w:rPr>
                <w:rFonts w:ascii="宋体" w:hAnsi="宋体" w:eastAsia="宋体" w:cs="宋体"/>
                <w:b/>
                <w:bCs/>
                <w:color w:val="000000"/>
                <w:kern w:val="0"/>
                <w:sz w:val="28"/>
                <w:szCs w:val="28"/>
              </w:rPr>
            </w:pPr>
            <w:r>
              <w:rPr>
                <w:rFonts w:hint="eastAsia" w:ascii="方正小标宋简体" w:hAnsi="宋体" w:eastAsia="方正小标宋简体" w:cs="Times New Roman"/>
                <w:sz w:val="40"/>
                <w:szCs w:val="40"/>
              </w:rPr>
              <w:t>物流行业诚信广州倡议书签署备案表</w:t>
            </w:r>
          </w:p>
        </w:tc>
      </w:tr>
      <w:tr>
        <w:tblPrEx>
          <w:tblLayout w:type="fixed"/>
          <w:tblCellMar>
            <w:top w:w="0" w:type="dxa"/>
            <w:left w:w="108" w:type="dxa"/>
            <w:bottom w:w="0" w:type="dxa"/>
            <w:right w:w="108" w:type="dxa"/>
          </w:tblCellMar>
        </w:tblPrEx>
        <w:trPr>
          <w:trHeight w:val="439" w:hRule="atLeast"/>
        </w:trPr>
        <w:tc>
          <w:tcPr>
            <w:tcW w:w="1101" w:type="dxa"/>
            <w:vMerge w:val="restart"/>
            <w:tcBorders>
              <w:top w:val="nil"/>
              <w:left w:val="single" w:color="auto" w:sz="4" w:space="0"/>
              <w:right w:val="single" w:color="auto" w:sz="4" w:space="0"/>
            </w:tcBorders>
            <w:shd w:val="clear" w:color="auto" w:fill="auto"/>
            <w:textDirection w:val="tbRlV"/>
            <w:vAlign w:val="center"/>
          </w:tcPr>
          <w:p>
            <w:pPr>
              <w:jc w:val="center"/>
              <w:rPr>
                <w:rFonts w:ascii="宋体" w:hAnsi="宋体" w:eastAsia="宋体" w:cs="宋体"/>
                <w:color w:val="000000"/>
                <w:kern w:val="0"/>
                <w:sz w:val="22"/>
              </w:rPr>
            </w:pPr>
            <w:r>
              <w:rPr>
                <w:rFonts w:hint="eastAsia" w:ascii="宋体" w:hAnsi="宋体" w:eastAsia="宋体" w:cs="宋体"/>
                <w:color w:val="000000"/>
                <w:kern w:val="0"/>
                <w:sz w:val="22"/>
              </w:rPr>
              <w:t>申请单位基本信息</w:t>
            </w:r>
          </w:p>
        </w:tc>
        <w:tc>
          <w:tcPr>
            <w:tcW w:w="14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企业名称</w:t>
            </w:r>
          </w:p>
        </w:tc>
        <w:tc>
          <w:tcPr>
            <w:tcW w:w="7093" w:type="dxa"/>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14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通讯地址</w:t>
            </w:r>
          </w:p>
        </w:tc>
        <w:tc>
          <w:tcPr>
            <w:tcW w:w="7093" w:type="dxa"/>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14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成立时间</w:t>
            </w:r>
          </w:p>
        </w:tc>
        <w:tc>
          <w:tcPr>
            <w:tcW w:w="12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公司类型</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公司规模</w:t>
            </w:r>
          </w:p>
        </w:tc>
        <w:tc>
          <w:tcPr>
            <w:tcW w:w="20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14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法定代表人</w:t>
            </w:r>
          </w:p>
        </w:tc>
        <w:tc>
          <w:tcPr>
            <w:tcW w:w="12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电  话</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手  机</w:t>
            </w:r>
          </w:p>
        </w:tc>
        <w:tc>
          <w:tcPr>
            <w:tcW w:w="20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8510" w:type="dxa"/>
            <w:gridSpan w:val="7"/>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12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联系人</w:t>
            </w:r>
          </w:p>
        </w:tc>
        <w:tc>
          <w:tcPr>
            <w:tcW w:w="14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职  务</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手  机</w:t>
            </w:r>
          </w:p>
        </w:tc>
        <w:tc>
          <w:tcPr>
            <w:tcW w:w="20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12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电  话</w:t>
            </w:r>
          </w:p>
        </w:tc>
        <w:tc>
          <w:tcPr>
            <w:tcW w:w="141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邮  箱</w:t>
            </w:r>
          </w:p>
        </w:tc>
        <w:tc>
          <w:tcPr>
            <w:tcW w:w="4725"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restart"/>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企业简介</w:t>
            </w:r>
          </w:p>
        </w:tc>
        <w:tc>
          <w:tcPr>
            <w:tcW w:w="8510" w:type="dxa"/>
            <w:gridSpan w:val="7"/>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Layout w:type="fixed"/>
          <w:tblCellMar>
            <w:top w:w="0" w:type="dxa"/>
            <w:left w:w="108" w:type="dxa"/>
            <w:bottom w:w="0" w:type="dxa"/>
            <w:right w:w="108" w:type="dxa"/>
          </w:tblCellMar>
        </w:tblPrEx>
        <w:trPr>
          <w:trHeight w:val="439" w:hRule="atLeast"/>
        </w:trPr>
        <w:tc>
          <w:tcPr>
            <w:tcW w:w="11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8510" w:type="dxa"/>
            <w:gridSpan w:val="7"/>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8510" w:type="dxa"/>
            <w:gridSpan w:val="7"/>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8510" w:type="dxa"/>
            <w:gridSpan w:val="7"/>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8510" w:type="dxa"/>
            <w:gridSpan w:val="7"/>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39" w:hRule="atLeast"/>
        </w:trPr>
        <w:tc>
          <w:tcPr>
            <w:tcW w:w="11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8510" w:type="dxa"/>
            <w:gridSpan w:val="7"/>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312" w:hRule="atLeast"/>
        </w:trPr>
        <w:tc>
          <w:tcPr>
            <w:tcW w:w="11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8510" w:type="dxa"/>
            <w:gridSpan w:val="7"/>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312" w:hRule="atLeast"/>
        </w:trPr>
        <w:tc>
          <w:tcPr>
            <w:tcW w:w="1101" w:type="dxa"/>
            <w:vMerge w:val="restart"/>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本企业在诚信方面</w:t>
            </w:r>
          </w:p>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做了哪些工作</w:t>
            </w:r>
          </w:p>
        </w:tc>
        <w:tc>
          <w:tcPr>
            <w:tcW w:w="8510" w:type="dxa"/>
            <w:gridSpan w:val="7"/>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2295" w:hRule="atLeast"/>
        </w:trPr>
        <w:tc>
          <w:tcPr>
            <w:tcW w:w="11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8510" w:type="dxa"/>
            <w:gridSpan w:val="7"/>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312" w:hRule="atLeast"/>
        </w:trPr>
        <w:tc>
          <w:tcPr>
            <w:tcW w:w="1101" w:type="dxa"/>
            <w:vMerge w:val="restart"/>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对诚信工作的期望</w:t>
            </w:r>
          </w:p>
        </w:tc>
        <w:tc>
          <w:tcPr>
            <w:tcW w:w="8510" w:type="dxa"/>
            <w:gridSpan w:val="7"/>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1088" w:hRule="atLeast"/>
        </w:trPr>
        <w:tc>
          <w:tcPr>
            <w:tcW w:w="11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rPr>
            </w:pPr>
          </w:p>
        </w:tc>
        <w:tc>
          <w:tcPr>
            <w:tcW w:w="8510" w:type="dxa"/>
            <w:gridSpan w:val="7"/>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bl>
    <w:p/>
    <w:p>
      <w:pPr>
        <w:rPr>
          <w:rFonts w:ascii="Times New Roman" w:hAnsi="Times New Roman"/>
        </w:rPr>
      </w:pPr>
      <w:r>
        <w:rPr>
          <w:rFonts w:hint="eastAsia" w:ascii="Times New Roman"/>
        </w:rPr>
        <w:t>联 系 人：王丁平，晏庆华</w:t>
      </w:r>
    </w:p>
    <w:p>
      <w:pPr>
        <w:rPr>
          <w:rFonts w:ascii="Times New Roman" w:hAnsi="Times New Roman"/>
        </w:rPr>
      </w:pPr>
      <w:r>
        <w:rPr>
          <w:rFonts w:hint="eastAsia" w:ascii="Times New Roman"/>
        </w:rPr>
        <w:t>联系电话：</w:t>
      </w:r>
      <w:r>
        <w:rPr>
          <w:rFonts w:hint="eastAsia" w:ascii="Times New Roman" w:hAnsi="Times New Roman"/>
        </w:rPr>
        <w:t>18601254631</w:t>
      </w:r>
      <w:r>
        <w:rPr>
          <w:rFonts w:hint="eastAsia" w:ascii="Times New Roman"/>
        </w:rPr>
        <w:t>，</w:t>
      </w:r>
      <w:r>
        <w:rPr>
          <w:rFonts w:hint="eastAsia" w:ascii="Times New Roman" w:hAnsi="Times New Roman"/>
        </w:rPr>
        <w:t>13381361756</w:t>
      </w:r>
      <w:r>
        <w:rPr>
          <w:rFonts w:hint="eastAsia" w:ascii="Times New Roman"/>
        </w:rPr>
        <w:t>，</w:t>
      </w:r>
      <w:r>
        <w:rPr>
          <w:rFonts w:hint="eastAsia" w:ascii="Times New Roman" w:hAnsi="Times New Roman"/>
        </w:rPr>
        <w:t>010-58566588-117</w:t>
      </w:r>
    </w:p>
    <w:p>
      <w:pPr>
        <w:rPr>
          <w:rFonts w:ascii="Times New Roman" w:hAnsi="Times New Roman"/>
        </w:rPr>
      </w:pPr>
      <w:r>
        <w:rPr>
          <w:rFonts w:hint="eastAsia" w:ascii="Times New Roman"/>
        </w:rPr>
        <w:t>传    真：</w:t>
      </w:r>
      <w:r>
        <w:rPr>
          <w:rFonts w:hint="eastAsia" w:ascii="Times New Roman" w:hAnsi="Times New Roman"/>
        </w:rPr>
        <w:t>010-58566576</w:t>
      </w:r>
      <w:r>
        <w:rPr>
          <w:rFonts w:hint="eastAsia" w:ascii="Times New Roman"/>
        </w:rPr>
        <w:t xml:space="preserve"> </w:t>
      </w:r>
      <w:r>
        <w:rPr>
          <w:rFonts w:hint="eastAsia" w:ascii="Times New Roman" w:hAnsi="Times New Roman"/>
        </w:rPr>
        <w:t xml:space="preserve">  E-mail</w:t>
      </w:r>
      <w:r>
        <w:rPr>
          <w:rFonts w:hint="eastAsia" w:ascii="Times New Roman"/>
        </w:rPr>
        <w:t>：</w:t>
      </w:r>
      <w:r>
        <w:rPr>
          <w:rFonts w:hint="eastAsia" w:ascii="Times New Roman" w:hAnsi="Times New Roman"/>
        </w:rPr>
        <w:t xml:space="preserve"> xyxa919@126.com</w:t>
      </w:r>
    </w:p>
    <w:sectPr>
      <w:footerReference r:id="rId3" w:type="default"/>
      <w:footerReference r:id="rId4" w:type="even"/>
      <w:pgSz w:w="11906" w:h="16838"/>
      <w:pgMar w:top="1440" w:right="1588" w:bottom="1440" w:left="1588" w:header="851" w:footer="1599"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cs="Times New Roman"/>
      </w:rPr>
    </w:pPr>
    <w:r>
      <w:rPr>
        <w:rStyle w:val="7"/>
        <w:rFonts w:ascii="Times New Roman" w:hAnsi="Times New Roman" w:cs="Times New Roman"/>
        <w:sz w:val="28"/>
        <w:szCs w:val="28"/>
      </w:rPr>
      <w:t xml:space="preserve">— </w:t>
    </w:r>
    <w:r>
      <w:rPr>
        <w:rStyle w:val="7"/>
        <w:rFonts w:ascii="Times New Roman" w:hAnsi="Times New Roman" w:cs="Times New Roman"/>
        <w:sz w:val="28"/>
        <w:szCs w:val="28"/>
      </w:rPr>
      <w:fldChar w:fldCharType="begin"/>
    </w:r>
    <w:r>
      <w:rPr>
        <w:rStyle w:val="7"/>
        <w:rFonts w:ascii="Times New Roman" w:hAnsi="Times New Roman" w:cs="Times New Roman"/>
        <w:sz w:val="28"/>
        <w:szCs w:val="28"/>
      </w:rPr>
      <w:instrText xml:space="preserve">PAGE  </w:instrText>
    </w:r>
    <w:r>
      <w:rPr>
        <w:rStyle w:val="7"/>
        <w:rFonts w:ascii="Times New Roman" w:hAnsi="Times New Roman" w:cs="Times New Roman"/>
        <w:sz w:val="28"/>
        <w:szCs w:val="28"/>
      </w:rPr>
      <w:fldChar w:fldCharType="separate"/>
    </w:r>
    <w:r>
      <w:rPr>
        <w:rStyle w:val="7"/>
        <w:rFonts w:ascii="Times New Roman" w:hAnsi="Times New Roman" w:cs="Times New Roman"/>
        <w:sz w:val="28"/>
        <w:szCs w:val="28"/>
      </w:rPr>
      <w:t>1</w:t>
    </w:r>
    <w:r>
      <w:rPr>
        <w:rStyle w:val="7"/>
        <w:rFonts w:ascii="Times New Roman" w:hAnsi="Times New Roman" w:cs="Times New Roman"/>
        <w:sz w:val="28"/>
        <w:szCs w:val="28"/>
      </w:rPr>
      <w:fldChar w:fldCharType="end"/>
    </w:r>
    <w:r>
      <w:rPr>
        <w:rStyle w:val="7"/>
        <w:rFonts w:ascii="Times New Roman" w:hAnsi="Times New Roman" w:cs="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Times New Roman" w:hAnsi="Times New Roman" w:cs="Times New Roman"/>
      </w:rPr>
    </w:pPr>
    <w:r>
      <w:rPr>
        <w:rStyle w:val="7"/>
        <w:rFonts w:ascii="Times New Roman" w:hAnsi="Times New Roman" w:cs="Times New Roman"/>
        <w:sz w:val="28"/>
        <w:szCs w:val="28"/>
      </w:rPr>
      <w:t xml:space="preserve">— </w:t>
    </w:r>
    <w:r>
      <w:rPr>
        <w:rStyle w:val="7"/>
        <w:rFonts w:ascii="Times New Roman" w:hAnsi="Times New Roman" w:cs="Times New Roman"/>
        <w:sz w:val="28"/>
        <w:szCs w:val="28"/>
      </w:rPr>
      <w:fldChar w:fldCharType="begin"/>
    </w:r>
    <w:r>
      <w:rPr>
        <w:rStyle w:val="7"/>
        <w:rFonts w:ascii="Times New Roman" w:hAnsi="Times New Roman" w:cs="Times New Roman"/>
        <w:sz w:val="28"/>
        <w:szCs w:val="28"/>
      </w:rPr>
      <w:instrText xml:space="preserve">PAGE  </w:instrText>
    </w:r>
    <w:r>
      <w:rPr>
        <w:rStyle w:val="7"/>
        <w:rFonts w:ascii="Times New Roman" w:hAnsi="Times New Roman" w:cs="Times New Roman"/>
        <w:sz w:val="28"/>
        <w:szCs w:val="28"/>
      </w:rPr>
      <w:fldChar w:fldCharType="separate"/>
    </w:r>
    <w:r>
      <w:rPr>
        <w:rStyle w:val="7"/>
        <w:rFonts w:ascii="Times New Roman" w:hAnsi="Times New Roman" w:cs="Times New Roman"/>
        <w:sz w:val="28"/>
        <w:szCs w:val="28"/>
      </w:rPr>
      <w:t>2</w:t>
    </w:r>
    <w:r>
      <w:rPr>
        <w:rStyle w:val="7"/>
        <w:rFonts w:ascii="Times New Roman" w:hAnsi="Times New Roman" w:cs="Times New Roman"/>
        <w:sz w:val="28"/>
        <w:szCs w:val="28"/>
      </w:rPr>
      <w:fldChar w:fldCharType="end"/>
    </w:r>
    <w:r>
      <w:rPr>
        <w:rStyle w:val="7"/>
        <w:rFonts w:ascii="Times New Roman" w:hAnsi="Times New Roman" w:cs="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068"/>
    <w:rsid w:val="000856A7"/>
    <w:rsid w:val="00087090"/>
    <w:rsid w:val="00113999"/>
    <w:rsid w:val="001647CF"/>
    <w:rsid w:val="00167A30"/>
    <w:rsid w:val="00204D4C"/>
    <w:rsid w:val="00261E35"/>
    <w:rsid w:val="002C4EEC"/>
    <w:rsid w:val="00374E85"/>
    <w:rsid w:val="00397BF3"/>
    <w:rsid w:val="00444410"/>
    <w:rsid w:val="004557C9"/>
    <w:rsid w:val="0045686A"/>
    <w:rsid w:val="004D6AED"/>
    <w:rsid w:val="004F64B1"/>
    <w:rsid w:val="00503655"/>
    <w:rsid w:val="005A0AB4"/>
    <w:rsid w:val="005A32F6"/>
    <w:rsid w:val="005C41F7"/>
    <w:rsid w:val="005E0388"/>
    <w:rsid w:val="0068512D"/>
    <w:rsid w:val="006C7188"/>
    <w:rsid w:val="007364B5"/>
    <w:rsid w:val="00740FCC"/>
    <w:rsid w:val="00751BEA"/>
    <w:rsid w:val="00790EF9"/>
    <w:rsid w:val="008445BF"/>
    <w:rsid w:val="0089476F"/>
    <w:rsid w:val="008D28BB"/>
    <w:rsid w:val="00917D84"/>
    <w:rsid w:val="009B5B0F"/>
    <w:rsid w:val="009E2C20"/>
    <w:rsid w:val="00B02CB9"/>
    <w:rsid w:val="00B12887"/>
    <w:rsid w:val="00B220AD"/>
    <w:rsid w:val="00B669C4"/>
    <w:rsid w:val="00C104DC"/>
    <w:rsid w:val="00C34353"/>
    <w:rsid w:val="00C75F2E"/>
    <w:rsid w:val="00C84D26"/>
    <w:rsid w:val="00D8091D"/>
    <w:rsid w:val="00DD30A2"/>
    <w:rsid w:val="00E271A9"/>
    <w:rsid w:val="00E62B84"/>
    <w:rsid w:val="00F30068"/>
    <w:rsid w:val="00F37E97"/>
    <w:rsid w:val="00F4597A"/>
    <w:rsid w:val="00F76652"/>
    <w:rsid w:val="00F807A6"/>
    <w:rsid w:val="00F8690B"/>
    <w:rsid w:val="00FD18A9"/>
    <w:rsid w:val="00FF6753"/>
    <w:rsid w:val="4AC53E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2"/>
    <w:unhideWhenUsed/>
    <w:qFormat/>
    <w:uiPriority w:val="99"/>
    <w:pPr>
      <w:ind w:left="100" w:leftChars="2500"/>
    </w:pPr>
  </w:style>
  <w:style w:type="paragraph" w:styleId="3">
    <w:name w:val="Balloon Text"/>
    <w:basedOn w:val="1"/>
    <w:link w:val="11"/>
    <w:unhideWhenUsed/>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9">
    <w:name w:val="页眉 Char"/>
    <w:basedOn w:val="6"/>
    <w:link w:val="5"/>
    <w:uiPriority w:val="99"/>
    <w:rPr>
      <w:sz w:val="18"/>
      <w:szCs w:val="18"/>
    </w:rPr>
  </w:style>
  <w:style w:type="character" w:customStyle="1" w:styleId="10">
    <w:name w:val="页脚 Char"/>
    <w:basedOn w:val="6"/>
    <w:link w:val="4"/>
    <w:qFormat/>
    <w:uiPriority w:val="99"/>
    <w:rPr>
      <w:sz w:val="18"/>
      <w:szCs w:val="18"/>
    </w:rPr>
  </w:style>
  <w:style w:type="character" w:customStyle="1" w:styleId="11">
    <w:name w:val="批注框文本 Char"/>
    <w:basedOn w:val="6"/>
    <w:link w:val="3"/>
    <w:semiHidden/>
    <w:uiPriority w:val="99"/>
    <w:rPr>
      <w:sz w:val="18"/>
      <w:szCs w:val="18"/>
    </w:rPr>
  </w:style>
  <w:style w:type="character" w:customStyle="1" w:styleId="12">
    <w:name w:val="日期 Char"/>
    <w:basedOn w:val="6"/>
    <w:link w:val="2"/>
    <w:semiHidden/>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454</Words>
  <Characters>2592</Characters>
  <Lines>21</Lines>
  <Paragraphs>6</Paragraphs>
  <TotalTime>0</TotalTime>
  <ScaleCrop>false</ScaleCrop>
  <LinksUpToDate>false</LinksUpToDate>
  <CharactersWithSpaces>3040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2017-11-01T06:21:00Z</dcterms:created>
  <dc:creator>yqh</dc:creator>
  <cp:lastModifiedBy>dell</cp:lastModifiedBy>
  <cp:lastPrinted>2017-11-01T06:21:00Z</cp:lastPrinted>
  <dcterms:modified xsi:type="dcterms:W3CDTF">2017-11-17T23:01:40Z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