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B981A">
      <w:pPr>
        <w:adjustRightInd w:val="0"/>
        <w:spacing w:line="240" w:lineRule="auto"/>
        <w:ind w:firstLine="0" w:firstLineChars="0"/>
        <w:jc w:val="left"/>
        <w:outlineLvl w:val="0"/>
        <w:rPr>
          <w:rFonts w:eastAsia="黑体" w:cs="Times New Roman"/>
          <w:kern w:val="44"/>
          <w:szCs w:val="48"/>
        </w:rPr>
      </w:pPr>
      <w:r>
        <w:rPr>
          <w:rFonts w:eastAsia="黑体" w:cs="Times New Roman"/>
          <w:kern w:val="44"/>
          <w:szCs w:val="48"/>
        </w:rPr>
        <w:t>附件1</w:t>
      </w:r>
    </w:p>
    <w:p w14:paraId="4215B31E">
      <w:pPr>
        <w:adjustRightInd w:val="0"/>
        <w:spacing w:line="240" w:lineRule="auto"/>
        <w:ind w:firstLine="0" w:firstLineChars="0"/>
        <w:jc w:val="left"/>
        <w:outlineLvl w:val="0"/>
        <w:rPr>
          <w:rFonts w:eastAsia="黑体" w:cs="Times New Roman"/>
          <w:kern w:val="44"/>
          <w:szCs w:val="48"/>
        </w:rPr>
      </w:pPr>
    </w:p>
    <w:p w14:paraId="21CD4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560" w:lineRule="exact"/>
        <w:ind w:firstLine="720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首批制造业供应链服务典型</w:t>
      </w:r>
      <w:r>
        <w:rPr>
          <w:rFonts w:eastAsia="方正小标宋简体" w:cs="Times New Roman"/>
          <w:sz w:val="44"/>
          <w:szCs w:val="44"/>
        </w:rPr>
        <w:t>案例</w:t>
      </w:r>
    </w:p>
    <w:p w14:paraId="69DB4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560" w:lineRule="exact"/>
        <w:ind w:firstLine="720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征集主要方向和重点内容</w:t>
      </w:r>
    </w:p>
    <w:p w14:paraId="7F11B7C4">
      <w:pPr>
        <w:widowControl/>
        <w:spacing w:line="240" w:lineRule="auto"/>
        <w:ind w:firstLine="640"/>
        <w:rPr>
          <w:rFonts w:cs="Times New Roman"/>
          <w:color w:val="000000"/>
        </w:rPr>
      </w:pPr>
    </w:p>
    <w:p w14:paraId="16B56958">
      <w:pPr>
        <w:spacing w:line="240" w:lineRule="auto"/>
        <w:ind w:firstLine="640"/>
        <w:rPr>
          <w:rFonts w:eastAsia="仿宋_GB2312" w:cs="Times New Roman"/>
        </w:rPr>
      </w:pPr>
      <w:r>
        <w:rPr>
          <w:rFonts w:hint="eastAsia" w:ascii="黑体" w:hAnsi="黑体" w:eastAsia="黑体" w:cs="黑体"/>
        </w:rPr>
        <w:t>一、供应链协同创新。</w:t>
      </w:r>
      <w:r>
        <w:rPr>
          <w:rFonts w:eastAsia="仿宋_GB2312" w:cs="Times New Roman"/>
        </w:rPr>
        <w:t>主要包括：服务制造业企业构建高效协作组织，推进研发设计、计划采购、生产制造、质量检验、物流运输、销售库存、售后服务等业务环节以及财务管理、人力资源等支撑环节</w:t>
      </w:r>
      <w:r>
        <w:rPr>
          <w:rFonts w:hint="eastAsia" w:eastAsia="仿宋_GB2312" w:cs="Times New Roman"/>
        </w:rPr>
        <w:t>全链条</w:t>
      </w:r>
      <w:r>
        <w:rPr>
          <w:rFonts w:eastAsia="仿宋_GB2312" w:cs="Times New Roman"/>
        </w:rPr>
        <w:t>高效协同，实现供应链</w:t>
      </w:r>
      <w:r>
        <w:rPr>
          <w:rFonts w:hint="eastAsia" w:eastAsia="仿宋_GB2312" w:cs="Times New Roman"/>
        </w:rPr>
        <w:t>上下游企业之间</w:t>
      </w:r>
      <w:r>
        <w:rPr>
          <w:rFonts w:eastAsia="仿宋_GB2312" w:cs="Times New Roman"/>
        </w:rPr>
        <w:t>互联互通；</w:t>
      </w:r>
      <w:r>
        <w:rPr>
          <w:rFonts w:hint="eastAsia" w:eastAsia="仿宋_GB2312" w:cs="Times New Roman"/>
        </w:rPr>
        <w:t>扩大企业间</w:t>
      </w:r>
      <w:r>
        <w:rPr>
          <w:rFonts w:eastAsia="仿宋_GB2312" w:cs="Times New Roman"/>
        </w:rPr>
        <w:t>在研发设计、生产制造、物流运输等要素资源共享共用；</w:t>
      </w:r>
      <w:bookmarkStart w:id="0" w:name="_GoBack"/>
      <w:bookmarkEnd w:id="0"/>
      <w:r>
        <w:rPr>
          <w:rFonts w:eastAsia="仿宋_GB2312" w:cs="Times New Roman"/>
        </w:rPr>
        <w:t>运用新型生产组织方式，协同创新提升制造水平。</w:t>
      </w:r>
    </w:p>
    <w:p w14:paraId="29C3F899">
      <w:pPr>
        <w:ind w:firstLine="640"/>
        <w:rPr>
          <w:rFonts w:eastAsia="仿宋_GB2312" w:cs="Times New Roman"/>
        </w:rPr>
      </w:pPr>
      <w:r>
        <w:rPr>
          <w:rFonts w:hint="eastAsia" w:ascii="黑体" w:hAnsi="黑体" w:eastAsia="黑体" w:cs="黑体"/>
        </w:rPr>
        <w:t>二、供应链精益化管理</w:t>
      </w:r>
      <w:r>
        <w:rPr>
          <w:rFonts w:eastAsia="仿宋_GB2312" w:cs="Times New Roman"/>
          <w:b/>
          <w:bCs/>
        </w:rPr>
        <w:t>。</w:t>
      </w:r>
      <w:r>
        <w:rPr>
          <w:rFonts w:eastAsia="仿宋_GB2312" w:cs="Times New Roman"/>
        </w:rPr>
        <w:t>主要包括：服务制造业企业消除供应链各环节浪费，实现资源的最优配置；推动供应链全链条流程优化，减少信息不对称，提升</w:t>
      </w:r>
      <w:r>
        <w:rPr>
          <w:rFonts w:hint="eastAsia" w:eastAsia="仿宋_GB2312" w:cs="Times New Roman"/>
        </w:rPr>
        <w:t>产品</w:t>
      </w:r>
      <w:r>
        <w:rPr>
          <w:rFonts w:eastAsia="仿宋_GB2312" w:cs="Times New Roman"/>
        </w:rPr>
        <w:t>交付能力；</w:t>
      </w:r>
      <w:r>
        <w:rPr>
          <w:rFonts w:hint="eastAsia" w:eastAsia="仿宋_GB2312" w:cs="Times New Roman"/>
        </w:rPr>
        <w:t>健全</w:t>
      </w:r>
      <w:r>
        <w:rPr>
          <w:rFonts w:eastAsia="仿宋_GB2312" w:cs="Times New Roman"/>
        </w:rPr>
        <w:t>标准化供应链体系，推动企业间提升设备兼容性和标准化水平，实现物料编码统一，共同制定或参与通用标准、关键技术标准以及行业应用标准等，推动供应链上下游标准有效衔接</w:t>
      </w:r>
      <w:r>
        <w:rPr>
          <w:rFonts w:hint="eastAsia" w:eastAsia="仿宋_GB2312" w:cs="Times New Roman"/>
        </w:rPr>
        <w:t>，实现全链条质量提升</w:t>
      </w:r>
      <w:r>
        <w:rPr>
          <w:rFonts w:eastAsia="仿宋_GB2312" w:cs="Times New Roman"/>
        </w:rPr>
        <w:t>。</w:t>
      </w:r>
    </w:p>
    <w:p w14:paraId="04E84AFF">
      <w:pPr>
        <w:ind w:firstLine="640"/>
        <w:rPr>
          <w:rFonts w:eastAsia="仿宋_GB2312" w:cs="Times New Roman"/>
        </w:rPr>
      </w:pPr>
      <w:r>
        <w:rPr>
          <w:rFonts w:hint="eastAsia" w:ascii="黑体" w:hAnsi="黑体" w:eastAsia="黑体" w:cs="黑体"/>
        </w:rPr>
        <w:t>三、供应链数字化转型。</w:t>
      </w:r>
      <w:r>
        <w:rPr>
          <w:rFonts w:eastAsia="仿宋_GB2312" w:cs="Times New Roman"/>
        </w:rPr>
        <w:t>主要包括：</w:t>
      </w:r>
      <w:r>
        <w:rPr>
          <w:rFonts w:hint="eastAsia" w:eastAsia="仿宋_GB2312" w:cs="Times New Roman"/>
        </w:rPr>
        <w:t>服务</w:t>
      </w:r>
      <w:r>
        <w:rPr>
          <w:rFonts w:eastAsia="仿宋_GB2312" w:cs="Times New Roman"/>
        </w:rPr>
        <w:t>制造业企业制定供应链数字化</w:t>
      </w:r>
      <w:r>
        <w:rPr>
          <w:rFonts w:hint="eastAsia" w:eastAsia="仿宋_GB2312" w:cs="Times New Roman"/>
        </w:rPr>
        <w:t>发展</w:t>
      </w:r>
      <w:r>
        <w:rPr>
          <w:rFonts w:eastAsia="仿宋_GB2312" w:cs="Times New Roman"/>
        </w:rPr>
        <w:t>策略，明确供应链数字化转型目标和实施路径；</w:t>
      </w:r>
      <w:r>
        <w:rPr>
          <w:rFonts w:hint="eastAsia" w:eastAsia="仿宋_GB2312" w:cs="Times New Roman"/>
        </w:rPr>
        <w:t>建设</w:t>
      </w:r>
      <w:r>
        <w:rPr>
          <w:rFonts w:eastAsia="仿宋_GB2312" w:cs="Times New Roman"/>
        </w:rPr>
        <w:t>供应链管理系统，利用物联网、区块链、</w:t>
      </w:r>
      <w:r>
        <w:rPr>
          <w:rFonts w:hint="eastAsia" w:eastAsia="仿宋_GB2312" w:cs="Times New Roman"/>
        </w:rPr>
        <w:t>大数据、</w:t>
      </w:r>
      <w:r>
        <w:rPr>
          <w:rFonts w:eastAsia="仿宋_GB2312" w:cs="Times New Roman"/>
        </w:rPr>
        <w:t>人工智能等新一代信息技术加强产品数据、检验检测、供应商、仓储物流等关键管理系统建设；</w:t>
      </w:r>
      <w:r>
        <w:rPr>
          <w:rFonts w:hint="eastAsia" w:eastAsia="仿宋_GB2312" w:cs="Times New Roman"/>
        </w:rPr>
        <w:t>提升</w:t>
      </w:r>
      <w:r>
        <w:rPr>
          <w:rFonts w:eastAsia="仿宋_GB2312" w:cs="Times New Roman"/>
        </w:rPr>
        <w:t>供应链数字化运用能力，推动全流程业务上线上云，实现系统间多源实时信息数据交换和在线处理分析，打通供应链堵点卡点</w:t>
      </w:r>
      <w:r>
        <w:rPr>
          <w:rFonts w:hint="eastAsia" w:eastAsia="仿宋_GB2312" w:cs="Times New Roman"/>
        </w:rPr>
        <w:t>；</w:t>
      </w:r>
      <w:r>
        <w:rPr>
          <w:rFonts w:eastAsia="仿宋_GB2312" w:cs="Times New Roman"/>
        </w:rPr>
        <w:t>运用信息技术改造</w:t>
      </w:r>
      <w:r>
        <w:rPr>
          <w:rFonts w:hint="eastAsia" w:eastAsia="仿宋_GB2312" w:cs="Times New Roman"/>
        </w:rPr>
        <w:t>提升</w:t>
      </w:r>
      <w:r>
        <w:rPr>
          <w:rFonts w:eastAsia="仿宋_GB2312" w:cs="Times New Roman"/>
        </w:rPr>
        <w:t>供应链管理流程，创新供应链组织模式，构建企业内部智能决策系统。</w:t>
      </w:r>
    </w:p>
    <w:p w14:paraId="5C788B22">
      <w:pPr>
        <w:ind w:firstLine="640"/>
        <w:rPr>
          <w:rFonts w:eastAsia="仿宋_GB2312" w:cs="Times New Roman"/>
        </w:rPr>
      </w:pPr>
      <w:r>
        <w:rPr>
          <w:rFonts w:hint="eastAsia" w:ascii="黑体" w:hAnsi="黑体" w:eastAsia="黑体" w:cs="黑体"/>
        </w:rPr>
        <w:t>四、供应链绿色发展。</w:t>
      </w:r>
      <w:r>
        <w:rPr>
          <w:rFonts w:eastAsia="仿宋_GB2312" w:cs="Times New Roman"/>
        </w:rPr>
        <w:t>主要包括：</w:t>
      </w:r>
      <w:r>
        <w:rPr>
          <w:rFonts w:hint="eastAsia" w:eastAsia="仿宋_GB2312" w:cs="Times New Roman"/>
        </w:rPr>
        <w:t>服务</w:t>
      </w:r>
      <w:r>
        <w:rPr>
          <w:rFonts w:eastAsia="仿宋_GB2312" w:cs="Times New Roman"/>
        </w:rPr>
        <w:t>制造业企业在产品设计、原材料和零部件选取、生产制造、包装、仓储运输、销售使用、报废回收等供应链全过程中</w:t>
      </w:r>
      <w:r>
        <w:rPr>
          <w:rFonts w:hint="eastAsia" w:eastAsia="仿宋_GB2312" w:cs="Times New Roman"/>
        </w:rPr>
        <w:t>识别各环节绿色属性并进行有效管理，通过</w:t>
      </w:r>
      <w:r>
        <w:rPr>
          <w:rFonts w:eastAsia="仿宋_GB2312" w:cs="Times New Roman"/>
        </w:rPr>
        <w:t>开展绿色供应链设计、绿色采购、清洁生产、碳足迹核算</w:t>
      </w:r>
      <w:r>
        <w:rPr>
          <w:rFonts w:hint="eastAsia" w:eastAsia="仿宋_GB2312" w:cs="Times New Roman"/>
        </w:rPr>
        <w:t>等手段最小化全过程环境影响，最大化资源利用效率</w:t>
      </w:r>
      <w:r>
        <w:rPr>
          <w:rFonts w:eastAsia="仿宋_GB2312" w:cs="Times New Roman"/>
        </w:rPr>
        <w:t>。</w:t>
      </w:r>
    </w:p>
    <w:p w14:paraId="0F70FEE0">
      <w:pPr>
        <w:ind w:firstLine="640"/>
        <w:rPr>
          <w:rFonts w:eastAsia="仿宋_GB2312" w:cs="Times New Roman"/>
        </w:rPr>
      </w:pPr>
      <w:r>
        <w:rPr>
          <w:rFonts w:hint="eastAsia" w:ascii="黑体" w:hAnsi="黑体" w:eastAsia="黑体" w:cs="黑体"/>
        </w:rPr>
        <w:t>五、供应链全球网络构建</w:t>
      </w:r>
      <w:r>
        <w:rPr>
          <w:rFonts w:eastAsia="仿宋_GB2312" w:cs="Times New Roman"/>
        </w:rPr>
        <w:t>。主要包括：</w:t>
      </w:r>
      <w:r>
        <w:rPr>
          <w:rFonts w:hint="eastAsia" w:eastAsia="仿宋_GB2312" w:cs="Times New Roman"/>
        </w:rPr>
        <w:t>服务</w:t>
      </w:r>
      <w:r>
        <w:rPr>
          <w:rFonts w:eastAsia="仿宋_GB2312" w:cs="Times New Roman"/>
        </w:rPr>
        <w:t>制造业企业构建国际供应链网络，通过设立海外事业部、研发机构、分销中心等，逐步深化对外投资合作，提升供应链全球化管理运营水平；合理布局国际物流基础设施</w:t>
      </w:r>
      <w:r>
        <w:rPr>
          <w:rFonts w:hint="eastAsia" w:eastAsia="仿宋_GB2312" w:cs="Times New Roman"/>
        </w:rPr>
        <w:t>和</w:t>
      </w:r>
      <w:r>
        <w:rPr>
          <w:rFonts w:eastAsia="仿宋_GB2312" w:cs="Times New Roman"/>
        </w:rPr>
        <w:t>海外仓建设，降低国际物流成本</w:t>
      </w:r>
      <w:r>
        <w:rPr>
          <w:rFonts w:hint="eastAsia" w:eastAsia="仿宋_GB2312" w:cs="Times New Roman"/>
        </w:rPr>
        <w:t>；</w:t>
      </w:r>
      <w:r>
        <w:rPr>
          <w:rFonts w:eastAsia="仿宋_GB2312" w:cs="Times New Roman"/>
        </w:rPr>
        <w:t>面向供应链上下游提供</w:t>
      </w:r>
      <w:r>
        <w:rPr>
          <w:rFonts w:hint="eastAsia" w:eastAsia="仿宋_GB2312" w:cs="Times New Roman"/>
        </w:rPr>
        <w:t>境外</w:t>
      </w:r>
      <w:r>
        <w:rPr>
          <w:rFonts w:eastAsia="仿宋_GB2312" w:cs="Times New Roman"/>
        </w:rPr>
        <w:t>法律规则、仓储物流、市场信息、报关通关、信用担保等增值服务，引导</w:t>
      </w:r>
      <w:r>
        <w:rPr>
          <w:rFonts w:hint="eastAsia" w:eastAsia="仿宋_GB2312" w:cs="Times New Roman"/>
        </w:rPr>
        <w:t>企业融入国内国际双循环</w:t>
      </w:r>
      <w:r>
        <w:rPr>
          <w:rFonts w:eastAsia="仿宋_GB2312" w:cs="Times New Roman"/>
        </w:rPr>
        <w:t>。</w:t>
      </w:r>
    </w:p>
    <w:p w14:paraId="71B54B09">
      <w:pPr>
        <w:ind w:firstLine="640"/>
        <w:rPr>
          <w:rFonts w:eastAsia="仿宋_GB2312" w:cs="Times New Roman"/>
        </w:rPr>
      </w:pPr>
      <w:r>
        <w:rPr>
          <w:rFonts w:hint="eastAsia" w:ascii="黑体" w:hAnsi="黑体" w:eastAsia="黑体" w:cs="黑体"/>
        </w:rPr>
        <w:t>六、供应链韧性和安全水平提升。</w:t>
      </w:r>
      <w:r>
        <w:rPr>
          <w:rFonts w:eastAsia="仿宋_GB2312" w:cs="Times New Roman"/>
        </w:rPr>
        <w:t>主要包括：</w:t>
      </w:r>
      <w:r>
        <w:rPr>
          <w:rFonts w:hint="eastAsia" w:eastAsia="仿宋_GB2312" w:cs="Times New Roman"/>
        </w:rPr>
        <w:t>服务制造业企业</w:t>
      </w:r>
      <w:r>
        <w:rPr>
          <w:rFonts w:eastAsia="仿宋_GB2312" w:cs="Times New Roman"/>
        </w:rPr>
        <w:t>强化风险预警和应对准备，建立有效风险管理机制，提升风险管理内控水平</w:t>
      </w:r>
      <w:r>
        <w:rPr>
          <w:rFonts w:hint="eastAsia" w:eastAsia="仿宋_GB2312" w:cs="Times New Roman"/>
        </w:rPr>
        <w:t>；</w:t>
      </w:r>
      <w:r>
        <w:rPr>
          <w:rFonts w:eastAsia="仿宋_GB2312" w:cs="Times New Roman"/>
        </w:rPr>
        <w:t>完善供应商风险管理体系</w:t>
      </w:r>
      <w:r>
        <w:rPr>
          <w:rFonts w:hint="eastAsia" w:eastAsia="仿宋_GB2312" w:cs="Times New Roman"/>
        </w:rPr>
        <w:t>建设</w:t>
      </w:r>
      <w:r>
        <w:rPr>
          <w:rFonts w:eastAsia="仿宋_GB2312" w:cs="Times New Roman"/>
        </w:rPr>
        <w:t>，搭建多元化供应商信息库，提升战略供应商稳定性，加强供应商全流程合规性审核</w:t>
      </w:r>
      <w:r>
        <w:rPr>
          <w:rFonts w:hint="eastAsia" w:eastAsia="仿宋_GB2312" w:cs="Times New Roman"/>
        </w:rPr>
        <w:t>；建设</w:t>
      </w:r>
      <w:r>
        <w:rPr>
          <w:rFonts w:eastAsia="仿宋_GB2312" w:cs="Times New Roman"/>
        </w:rPr>
        <w:t>多元物流运输网络，优化采购布局，增强库存调配灵活性，增强物流网络多元性等</w:t>
      </w:r>
      <w:r>
        <w:rPr>
          <w:rFonts w:hint="eastAsia" w:eastAsia="仿宋_GB2312" w:cs="Times New Roman"/>
        </w:rPr>
        <w:t>。</w:t>
      </w:r>
    </w:p>
    <w:p w14:paraId="2A47E6DD">
      <w:pPr>
        <w:ind w:firstLine="640"/>
      </w:pPr>
    </w:p>
    <w:p w14:paraId="5968CDFF">
      <w:pPr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28FD81-8164-4F20-8243-25190F6DA1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EE71AA4-595D-40B3-9E45-A8D368EB812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176DED6-5782-4BAC-9705-A99FC2D12A7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1CF89D7-9EFE-4F7F-9A06-7B80434F51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-1603177027"/>
    </w:sdtPr>
    <w:sdtEndPr>
      <w:rPr>
        <w:rFonts w:ascii="Times New Roman" w:hAnsi="Times New Roman" w:cs="Times New Roman"/>
        <w:sz w:val="28"/>
        <w:szCs w:val="28"/>
      </w:rPr>
    </w:sdtEndPr>
    <w:sdtContent>
      <w:p w14:paraId="3A327815">
        <w:pPr>
          <w:pStyle w:val="11"/>
          <w:ind w:firstLine="640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4976E048">
    <w:pPr>
      <w:pStyle w:val="11"/>
      <w:rPr>
        <w:rFonts w:ascii="Times New Roman" w:hAnsi="Times New Roman" w:cs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129E9">
    <w:pPr>
      <w:pStyle w:val="11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23876">
    <w:pPr>
      <w:pStyle w:val="11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640"/>
      </w:pPr>
      <w:r>
        <w:separator/>
      </w:r>
    </w:p>
  </w:footnote>
  <w:footnote w:type="continuationSeparator" w:id="1">
    <w:p>
      <w:pPr>
        <w:spacing w:before="0" w:after="0"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36912">
    <w:pPr>
      <w:pStyle w:val="12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C8B4CF">
    <w:pPr>
      <w:pStyle w:val="12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40FFC6">
    <w:pPr>
      <w:pStyle w:val="12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838"/>
    <w:rsid w:val="000654C6"/>
    <w:rsid w:val="00083F5A"/>
    <w:rsid w:val="0011529A"/>
    <w:rsid w:val="0018348B"/>
    <w:rsid w:val="001B1F70"/>
    <w:rsid w:val="00213959"/>
    <w:rsid w:val="0022080D"/>
    <w:rsid w:val="003707C6"/>
    <w:rsid w:val="003D1EFC"/>
    <w:rsid w:val="004573B1"/>
    <w:rsid w:val="004F32C0"/>
    <w:rsid w:val="00511C45"/>
    <w:rsid w:val="00516007"/>
    <w:rsid w:val="00546DE5"/>
    <w:rsid w:val="005D6AFE"/>
    <w:rsid w:val="006C36AA"/>
    <w:rsid w:val="006F693E"/>
    <w:rsid w:val="0074487B"/>
    <w:rsid w:val="00770014"/>
    <w:rsid w:val="00896668"/>
    <w:rsid w:val="008C48D3"/>
    <w:rsid w:val="00A21E9A"/>
    <w:rsid w:val="00A9495C"/>
    <w:rsid w:val="00B13719"/>
    <w:rsid w:val="00B86BD4"/>
    <w:rsid w:val="00BE62AB"/>
    <w:rsid w:val="00CD2D2A"/>
    <w:rsid w:val="00E715AC"/>
    <w:rsid w:val="00E72D93"/>
    <w:rsid w:val="00F13838"/>
    <w:rsid w:val="00F31C33"/>
    <w:rsid w:val="0DDD6944"/>
    <w:rsid w:val="33DB6AEC"/>
    <w:rsid w:val="3EBB4C9B"/>
    <w:rsid w:val="3EDFA3AE"/>
    <w:rsid w:val="557F1B5B"/>
    <w:rsid w:val="56A7161B"/>
    <w:rsid w:val="57DFF123"/>
    <w:rsid w:val="59F7D98E"/>
    <w:rsid w:val="5E6F2FBE"/>
    <w:rsid w:val="5FF832CD"/>
    <w:rsid w:val="5FFFDB70"/>
    <w:rsid w:val="6D1B9838"/>
    <w:rsid w:val="6FBFA90C"/>
    <w:rsid w:val="796709C2"/>
    <w:rsid w:val="799F64AC"/>
    <w:rsid w:val="7E3F0C61"/>
    <w:rsid w:val="7E6FC986"/>
    <w:rsid w:val="7E7E0BD7"/>
    <w:rsid w:val="7EF7A2C9"/>
    <w:rsid w:val="7F7A8110"/>
    <w:rsid w:val="7F7D8672"/>
    <w:rsid w:val="7FBF7BA0"/>
    <w:rsid w:val="7FF7A17E"/>
    <w:rsid w:val="AF9FCF78"/>
    <w:rsid w:val="BEFFDE40"/>
    <w:rsid w:val="C5A54862"/>
    <w:rsid w:val="D3C3BFDA"/>
    <w:rsid w:val="E3DD1659"/>
    <w:rsid w:val="EB744BE6"/>
    <w:rsid w:val="EB953D20"/>
    <w:rsid w:val="EF6F43A5"/>
    <w:rsid w:val="F4EE1072"/>
    <w:rsid w:val="F5D742DD"/>
    <w:rsid w:val="F7BF2372"/>
    <w:rsid w:val="FB3B2B6F"/>
    <w:rsid w:val="FB77679C"/>
    <w:rsid w:val="FCE5CE1E"/>
    <w:rsid w:val="FDEF2E70"/>
    <w:rsid w:val="FF5DDCDB"/>
    <w:rsid w:val="FF7BB069"/>
    <w:rsid w:val="FF7D776C"/>
    <w:rsid w:val="FFE69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360" w:lineRule="auto"/>
      <w:ind w:firstLine="200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ind w:firstLine="0" w:firstLineChars="0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ind w:firstLine="0" w:firstLineChars="0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ind w:firstLine="0" w:firstLineChars="0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Cs w:val="32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ind w:firstLine="0" w:firstLineChars="0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ind w:firstLine="0" w:firstLineChars="0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ind w:firstLine="0" w:firstLineChars="0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ind w:firstLine="0" w:firstLineChars="0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ind w:firstLine="0" w:firstLineChars="0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ind w:firstLine="0" w:firstLineChars="0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after="160"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  <w14:ligatures w14:val="standardContextual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after="160"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ind w:firstLine="0" w:firstLineChars="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ind w:firstLine="0" w:firstLineChars="0"/>
      <w:jc w:val="center"/>
    </w:pPr>
    <w:rPr>
      <w:rFonts w:asciiTheme="minorHAnsi" w:hAnsiTheme="minorHAnsi" w:eastAsiaTheme="minorEastAsia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 w:firstLine="0" w:firstLineChars="0"/>
      <w:contextualSpacing/>
      <w:jc w:val="left"/>
    </w:pPr>
    <w:rPr>
      <w:rFonts w:asciiTheme="minorHAnsi" w:hAnsiTheme="minorHAnsi" w:eastAsiaTheme="minorEastAsia"/>
      <w:sz w:val="22"/>
      <w:szCs w:val="24"/>
      <w14:ligatures w14:val="standardContextual"/>
    </w:rPr>
  </w:style>
  <w:style w:type="character" w:customStyle="1" w:styleId="31">
    <w:name w:val="明显强调1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78" w:lineRule="auto"/>
      <w:ind w:left="864" w:right="864" w:firstLine="0" w:firstLineChars="0"/>
      <w:jc w:val="center"/>
    </w:pPr>
    <w:rPr>
      <w:rFonts w:asciiTheme="minorHAnsi" w:hAnsiTheme="minorHAnsi" w:eastAsiaTheme="minorEastAsia"/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  <w:style w:type="paragraph" w:customStyle="1" w:styleId="37">
    <w:name w:val="Revision"/>
    <w:hidden/>
    <w:unhideWhenUsed/>
    <w:qFormat/>
    <w:uiPriority w:val="99"/>
    <w:pPr>
      <w:spacing w:after="0" w:line="240" w:lineRule="auto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1030</Words>
  <Characters>1030</Characters>
  <Lines>7</Lines>
  <Paragraphs>2</Paragraphs>
  <TotalTime>34</TotalTime>
  <ScaleCrop>false</ScaleCrop>
  <LinksUpToDate>false</LinksUpToDate>
  <CharactersWithSpaces>1030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2025-01-25T23:27:00Z</dcterms:created>
  <dc:creator>赵娜</dc:creator>
  <cp:lastModifiedBy>常朝晖</cp:lastModifiedBy>
  <cp:lastPrinted>2025-03-17T08:21:00Z</cp:lastPrinted>
  <dcterms:modified xsi:type="dcterms:W3CDTF">2025-03-19T02:58:07Z</dcterms:modified>
  <dc:title>附件1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eyJoZGlkIjoiMzEwNTM5NzYwMDRjMzkwZTVkZjY2ODkwMGIxNGU0OTUiLCJ1c2VySWQiOiIyOTgxNDE2MzMifQ==</vt:lpwstr>
  </property>
  <property fmtid="{D5CDD505-2E9C-101B-9397-08002B2CF9AE}" pid="4" name="ICV">
    <vt:lpwstr>949357C9DFC84747BD224F0CBB54F1C4_12</vt:lpwstr>
  </property>
</Properties>
</file>